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79"/>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4043"/>
        <w:gridCol w:w="2539"/>
      </w:tblGrid>
      <w:tr w:rsidR="00020E04" w:rsidRPr="00020E04" w:rsidTr="00B66A8B">
        <w:trPr>
          <w:trHeight w:val="8349"/>
        </w:trPr>
        <w:tc>
          <w:tcPr>
            <w:tcW w:w="2545" w:type="dxa"/>
            <w:tcBorders>
              <w:top w:val="single" w:sz="4" w:space="0" w:color="auto"/>
              <w:left w:val="single" w:sz="4" w:space="0" w:color="auto"/>
              <w:bottom w:val="single" w:sz="4" w:space="0" w:color="auto"/>
              <w:right w:val="single" w:sz="4" w:space="0" w:color="auto"/>
            </w:tcBorders>
            <w:shd w:val="clear" w:color="auto" w:fill="D9E7F3"/>
          </w:tcPr>
          <w:p w:rsidR="005A7488" w:rsidRPr="00020E04" w:rsidRDefault="005A7488" w:rsidP="00B66A8B">
            <w:pPr>
              <w:rPr>
                <w:rFonts w:ascii="Calibri" w:hAnsi="Calibri" w:cs="Arial"/>
              </w:rPr>
            </w:pPr>
          </w:p>
          <w:p w:rsidR="005A7488" w:rsidRPr="00020E04" w:rsidRDefault="001A0C5D" w:rsidP="00B66A8B">
            <w:pPr>
              <w:rPr>
                <w:rFonts w:ascii="Calibri" w:hAnsi="Calibri" w:cs="Arial"/>
              </w:rPr>
            </w:pPr>
            <w:r w:rsidRPr="00020E04">
              <w:rPr>
                <w:rFonts w:ascii="Calibri" w:hAnsi="Calibri" w:cs="Arial"/>
                <w:noProof/>
                <w:lang w:val="en-GB" w:eastAsia="en-GB"/>
              </w:rPr>
              <w:drawing>
                <wp:inline distT="0" distB="0" distL="0" distR="0" wp14:anchorId="162B3EF7" wp14:editId="141B53FD">
                  <wp:extent cx="1475105" cy="14751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inline>
              </w:drawing>
            </w:r>
          </w:p>
          <w:p w:rsidR="005A7488" w:rsidRPr="00020E04" w:rsidRDefault="005A7488" w:rsidP="00B66A8B">
            <w:pPr>
              <w:jc w:val="center"/>
              <w:rPr>
                <w:rFonts w:ascii="Calibri" w:hAnsi="Calibri" w:cs="Arial"/>
                <w:sz w:val="20"/>
                <w:szCs w:val="20"/>
              </w:rPr>
            </w:pPr>
          </w:p>
          <w:p w:rsidR="00F65629" w:rsidRPr="00020E04" w:rsidRDefault="005A7488" w:rsidP="00B66A8B">
            <w:pPr>
              <w:jc w:val="center"/>
              <w:rPr>
                <w:rFonts w:ascii="Calibri" w:hAnsi="Calibri" w:cs="Arial"/>
                <w:b/>
                <w:sz w:val="21"/>
                <w:szCs w:val="21"/>
              </w:rPr>
            </w:pPr>
            <w:r w:rsidRPr="00020E04">
              <w:rPr>
                <w:rFonts w:ascii="Calibri" w:hAnsi="Calibri" w:cs="Arial"/>
                <w:b/>
                <w:sz w:val="21"/>
                <w:szCs w:val="21"/>
              </w:rPr>
              <w:t xml:space="preserve">President: </w:t>
            </w:r>
          </w:p>
          <w:p w:rsidR="005A7488" w:rsidRPr="00020E04" w:rsidRDefault="007C4376" w:rsidP="00B66A8B">
            <w:pPr>
              <w:jc w:val="center"/>
              <w:rPr>
                <w:rFonts w:ascii="Calibri" w:hAnsi="Calibri" w:cs="Arial"/>
                <w:sz w:val="21"/>
                <w:szCs w:val="21"/>
              </w:rPr>
            </w:pPr>
            <w:r w:rsidRPr="00020E04">
              <w:rPr>
                <w:rFonts w:ascii="Calibri" w:hAnsi="Calibri" w:cs="Arial"/>
                <w:sz w:val="21"/>
                <w:szCs w:val="21"/>
              </w:rPr>
              <w:t>Sir Stephen Silber</w:t>
            </w:r>
          </w:p>
          <w:p w:rsidR="005A7488" w:rsidRPr="00020E04" w:rsidRDefault="005A7488" w:rsidP="00B66A8B">
            <w:pPr>
              <w:jc w:val="center"/>
              <w:rPr>
                <w:rFonts w:ascii="Calibri" w:hAnsi="Calibri" w:cs="Arial"/>
                <w:sz w:val="21"/>
                <w:szCs w:val="21"/>
              </w:rPr>
            </w:pPr>
          </w:p>
          <w:p w:rsidR="00F65629" w:rsidRPr="00020E04" w:rsidRDefault="005A7488" w:rsidP="00B66A8B">
            <w:pPr>
              <w:jc w:val="center"/>
              <w:rPr>
                <w:rFonts w:ascii="Calibri" w:hAnsi="Calibri" w:cs="Arial"/>
                <w:b/>
                <w:sz w:val="21"/>
                <w:szCs w:val="21"/>
              </w:rPr>
            </w:pPr>
            <w:r w:rsidRPr="00020E04">
              <w:rPr>
                <w:rFonts w:ascii="Calibri" w:hAnsi="Calibri" w:cs="Arial"/>
                <w:b/>
                <w:sz w:val="21"/>
                <w:szCs w:val="21"/>
              </w:rPr>
              <w:t xml:space="preserve">Vice-President: </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HHJ Alan Saggerson</w:t>
            </w:r>
          </w:p>
          <w:p w:rsidR="005A7488" w:rsidRPr="00020E04" w:rsidRDefault="005A7488" w:rsidP="00B66A8B">
            <w:pPr>
              <w:jc w:val="center"/>
              <w:rPr>
                <w:rFonts w:ascii="Calibri" w:hAnsi="Calibri" w:cs="Arial"/>
                <w:sz w:val="21"/>
                <w:szCs w:val="21"/>
              </w:rPr>
            </w:pPr>
          </w:p>
          <w:p w:rsidR="005A7488" w:rsidRPr="00020E04" w:rsidRDefault="005A7488" w:rsidP="00B66A8B">
            <w:pPr>
              <w:jc w:val="center"/>
              <w:rPr>
                <w:rFonts w:ascii="Calibri" w:hAnsi="Calibri" w:cs="Arial"/>
                <w:b/>
                <w:sz w:val="21"/>
                <w:szCs w:val="21"/>
              </w:rPr>
            </w:pPr>
            <w:r w:rsidRPr="00020E04">
              <w:rPr>
                <w:rFonts w:ascii="Calibri" w:hAnsi="Calibri" w:cs="Arial"/>
                <w:b/>
                <w:sz w:val="21"/>
                <w:szCs w:val="21"/>
              </w:rPr>
              <w:t>Committee</w:t>
            </w:r>
            <w:r w:rsidR="00B76503" w:rsidRPr="00020E04">
              <w:rPr>
                <w:rFonts w:ascii="Calibri" w:hAnsi="Calibri" w:cs="Arial"/>
                <w:b/>
                <w:sz w:val="21"/>
                <w:szCs w:val="21"/>
              </w:rPr>
              <w:t>:</w:t>
            </w:r>
          </w:p>
          <w:p w:rsidR="009228D0" w:rsidRPr="00020E04" w:rsidRDefault="00B76503" w:rsidP="00B66A8B">
            <w:pPr>
              <w:jc w:val="center"/>
              <w:rPr>
                <w:rFonts w:ascii="Calibri" w:hAnsi="Calibri" w:cs="Arial"/>
                <w:sz w:val="21"/>
                <w:szCs w:val="21"/>
              </w:rPr>
            </w:pPr>
            <w:r w:rsidRPr="00020E04">
              <w:rPr>
                <w:rFonts w:ascii="Calibri" w:hAnsi="Calibri" w:cs="Arial"/>
                <w:sz w:val="21"/>
                <w:szCs w:val="21"/>
              </w:rPr>
              <w:t>Sarah Prager (Chair</w:t>
            </w:r>
            <w:r w:rsidR="009228D0" w:rsidRPr="00020E04">
              <w:rPr>
                <w:rFonts w:ascii="Calibri" w:hAnsi="Calibri" w:cs="Arial"/>
                <w:sz w:val="21"/>
                <w:szCs w:val="21"/>
              </w:rPr>
              <w:t>)</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 xml:space="preserve">Carmen </w:t>
            </w:r>
            <w:proofErr w:type="spellStart"/>
            <w:r w:rsidRPr="00020E04">
              <w:rPr>
                <w:rFonts w:ascii="Calibri" w:hAnsi="Calibri" w:cs="Arial"/>
                <w:sz w:val="21"/>
                <w:szCs w:val="21"/>
              </w:rPr>
              <w:t>Calvo</w:t>
            </w:r>
            <w:proofErr w:type="spellEnd"/>
            <w:r w:rsidRPr="00020E04">
              <w:rPr>
                <w:rFonts w:ascii="Calibri" w:hAnsi="Calibri" w:cs="Arial"/>
                <w:sz w:val="21"/>
                <w:szCs w:val="21"/>
              </w:rPr>
              <w:t xml:space="preserve">-Couto </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Clare Campbell</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Matthew Chapman</w:t>
            </w:r>
            <w:r w:rsidR="00F048AA" w:rsidRPr="00020E04">
              <w:rPr>
                <w:rFonts w:ascii="Calibri" w:hAnsi="Calibri" w:cs="Arial"/>
                <w:sz w:val="21"/>
                <w:szCs w:val="21"/>
              </w:rPr>
              <w:t xml:space="preserve"> QC</w:t>
            </w:r>
            <w:r w:rsidRPr="00020E04">
              <w:rPr>
                <w:rFonts w:ascii="Calibri" w:hAnsi="Calibri" w:cs="Arial"/>
                <w:sz w:val="21"/>
                <w:szCs w:val="21"/>
              </w:rPr>
              <w:t xml:space="preserve"> </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Demetrius Danas</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Andrew Deans</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Mark Fanning</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Michael Gwilliam</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 xml:space="preserve">Jack Harding </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Lee Hills</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Stephen Mason</w:t>
            </w:r>
          </w:p>
          <w:p w:rsidR="00B76503" w:rsidRPr="00020E04" w:rsidRDefault="00B76503" w:rsidP="00B66A8B">
            <w:pPr>
              <w:jc w:val="center"/>
              <w:rPr>
                <w:rFonts w:ascii="Calibri" w:hAnsi="Calibri" w:cs="Arial"/>
                <w:sz w:val="21"/>
                <w:szCs w:val="21"/>
              </w:rPr>
            </w:pPr>
            <w:r w:rsidRPr="00020E04">
              <w:rPr>
                <w:rFonts w:ascii="Calibri" w:hAnsi="Calibri" w:cs="Arial"/>
                <w:sz w:val="21"/>
                <w:szCs w:val="21"/>
              </w:rPr>
              <w:t xml:space="preserve">Nolan Mortimer </w:t>
            </w:r>
          </w:p>
          <w:p w:rsidR="005A7488" w:rsidRPr="00020E04" w:rsidRDefault="005A7488" w:rsidP="00B66A8B">
            <w:pPr>
              <w:rPr>
                <w:rFonts w:ascii="Calibri" w:hAnsi="Calibri" w:cs="Arial"/>
                <w:sz w:val="20"/>
                <w:szCs w:val="20"/>
              </w:rPr>
            </w:pPr>
          </w:p>
        </w:tc>
        <w:tc>
          <w:tcPr>
            <w:tcW w:w="4043" w:type="dxa"/>
            <w:tcBorders>
              <w:top w:val="nil"/>
              <w:left w:val="single" w:sz="4" w:space="0" w:color="auto"/>
              <w:bottom w:val="nil"/>
              <w:right w:val="single" w:sz="4" w:space="0" w:color="auto"/>
            </w:tcBorders>
          </w:tcPr>
          <w:p w:rsidR="005A7488" w:rsidRPr="00020E04" w:rsidRDefault="005A7488" w:rsidP="00B66A8B">
            <w:pPr>
              <w:jc w:val="center"/>
              <w:rPr>
                <w:rFonts w:ascii="Calibri" w:hAnsi="Calibri" w:cs="Arial"/>
                <w:sz w:val="12"/>
              </w:rPr>
            </w:pPr>
          </w:p>
          <w:p w:rsidR="005A7488" w:rsidRPr="00020E04" w:rsidRDefault="005A7488" w:rsidP="00B66A8B">
            <w:pPr>
              <w:jc w:val="center"/>
              <w:rPr>
                <w:rFonts w:ascii="Calibri" w:hAnsi="Calibri" w:cs="Arial"/>
                <w:b/>
                <w:sz w:val="70"/>
                <w:szCs w:val="70"/>
              </w:rPr>
            </w:pPr>
            <w:r w:rsidRPr="00020E04">
              <w:rPr>
                <w:rFonts w:ascii="Calibri" w:hAnsi="Calibri" w:cs="Arial"/>
                <w:b/>
                <w:sz w:val="70"/>
                <w:szCs w:val="70"/>
              </w:rPr>
              <w:t>TATLA</w:t>
            </w:r>
          </w:p>
          <w:p w:rsidR="005A7488" w:rsidRPr="00020E04" w:rsidRDefault="005A7488" w:rsidP="00B66A8B">
            <w:pPr>
              <w:rPr>
                <w:rFonts w:ascii="Calibri" w:hAnsi="Calibri" w:cs="Arial"/>
                <w:b/>
              </w:rPr>
            </w:pPr>
          </w:p>
          <w:p w:rsidR="005A7488" w:rsidRPr="00020E04" w:rsidRDefault="005A7488" w:rsidP="00B66A8B">
            <w:pPr>
              <w:jc w:val="center"/>
              <w:rPr>
                <w:rFonts w:ascii="Calibri" w:hAnsi="Calibri" w:cs="Arial"/>
                <w:b/>
                <w:sz w:val="28"/>
                <w:szCs w:val="28"/>
              </w:rPr>
            </w:pPr>
            <w:r w:rsidRPr="00020E04">
              <w:rPr>
                <w:rFonts w:ascii="Calibri" w:hAnsi="Calibri" w:cs="Arial"/>
                <w:b/>
                <w:sz w:val="28"/>
                <w:szCs w:val="28"/>
              </w:rPr>
              <w:t>TRAVEL AND TOURISM LAWYERS’ ASSOCIATION</w:t>
            </w:r>
          </w:p>
          <w:p w:rsidR="005A7488" w:rsidRPr="00020E04" w:rsidRDefault="005A7488" w:rsidP="00B66A8B">
            <w:pPr>
              <w:jc w:val="center"/>
              <w:rPr>
                <w:rFonts w:ascii="Calibri" w:hAnsi="Calibri" w:cs="Arial"/>
                <w:b/>
                <w:sz w:val="28"/>
                <w:szCs w:val="28"/>
              </w:rPr>
            </w:pPr>
          </w:p>
          <w:p w:rsidR="005A7488" w:rsidRPr="00020E04" w:rsidRDefault="005A7488" w:rsidP="00B66A8B">
            <w:pPr>
              <w:jc w:val="center"/>
              <w:rPr>
                <w:rFonts w:ascii="Calibri" w:hAnsi="Calibri" w:cs="Arial"/>
                <w:b/>
                <w:szCs w:val="22"/>
              </w:rPr>
            </w:pPr>
            <w:r w:rsidRPr="00020E04">
              <w:rPr>
                <w:rFonts w:ascii="Calibri" w:hAnsi="Calibri" w:cs="Arial"/>
                <w:b/>
                <w:szCs w:val="22"/>
              </w:rPr>
              <w:t>Sponsored by:</w:t>
            </w:r>
          </w:p>
          <w:p w:rsidR="00B76503" w:rsidRPr="00020E04" w:rsidRDefault="00B76503" w:rsidP="00B66A8B">
            <w:pPr>
              <w:jc w:val="center"/>
              <w:rPr>
                <w:rFonts w:ascii="Calibri" w:hAnsi="Calibri" w:cs="Arial"/>
                <w:b/>
                <w:szCs w:val="22"/>
              </w:rPr>
            </w:pPr>
          </w:p>
          <w:p w:rsidR="00B76503" w:rsidRPr="00020E04" w:rsidRDefault="00766653" w:rsidP="00B66A8B">
            <w:pPr>
              <w:jc w:val="center"/>
              <w:rPr>
                <w:rFonts w:ascii="Calibri" w:hAnsi="Calibri" w:cs="Arial"/>
                <w:b/>
                <w:szCs w:val="22"/>
              </w:rPr>
            </w:pPr>
            <w:r w:rsidRPr="00020E04">
              <w:rPr>
                <w:rFonts w:ascii="Calibri" w:hAnsi="Calibri" w:cs="Arial"/>
                <w:b/>
                <w:szCs w:val="22"/>
              </w:rPr>
              <w:t>1 Chancery Lane</w:t>
            </w:r>
          </w:p>
          <w:p w:rsidR="00766653" w:rsidRPr="00020E04" w:rsidRDefault="00766653" w:rsidP="00B66A8B">
            <w:pPr>
              <w:jc w:val="center"/>
              <w:rPr>
                <w:rFonts w:ascii="Calibri" w:hAnsi="Calibri" w:cs="Arial"/>
                <w:b/>
                <w:szCs w:val="22"/>
              </w:rPr>
            </w:pPr>
            <w:r w:rsidRPr="00020E04">
              <w:rPr>
                <w:rFonts w:ascii="Calibri" w:hAnsi="Calibri" w:cs="Arial"/>
                <w:b/>
                <w:szCs w:val="22"/>
              </w:rPr>
              <w:t>London WC2A 1LF</w:t>
            </w:r>
          </w:p>
          <w:p w:rsidR="00766653" w:rsidRPr="00020E04" w:rsidRDefault="00766653" w:rsidP="00B66A8B">
            <w:pPr>
              <w:jc w:val="center"/>
              <w:rPr>
                <w:rFonts w:ascii="Calibri" w:hAnsi="Calibri" w:cs="Arial"/>
                <w:b/>
                <w:szCs w:val="22"/>
              </w:rPr>
            </w:pPr>
          </w:p>
          <w:p w:rsidR="00766653" w:rsidRPr="00020E04" w:rsidRDefault="00766653" w:rsidP="00B66A8B">
            <w:pPr>
              <w:jc w:val="center"/>
              <w:rPr>
                <w:rFonts w:ascii="Calibri" w:hAnsi="Calibri" w:cs="Arial"/>
                <w:b/>
                <w:szCs w:val="22"/>
              </w:rPr>
            </w:pPr>
            <w:r w:rsidRPr="00020E04">
              <w:rPr>
                <w:rFonts w:ascii="Calibri" w:hAnsi="Calibri" w:cs="Arial"/>
                <w:b/>
                <w:szCs w:val="22"/>
              </w:rPr>
              <w:t>0207 092 2900</w:t>
            </w:r>
          </w:p>
          <w:p w:rsidR="00766653" w:rsidRPr="00020E04" w:rsidRDefault="00766653" w:rsidP="00B66A8B">
            <w:pPr>
              <w:jc w:val="center"/>
              <w:rPr>
                <w:rFonts w:ascii="Calibri" w:hAnsi="Calibri" w:cs="Arial"/>
                <w:b/>
                <w:szCs w:val="22"/>
              </w:rPr>
            </w:pPr>
            <w:r w:rsidRPr="00020E04">
              <w:rPr>
                <w:rFonts w:ascii="Calibri" w:hAnsi="Calibri" w:cs="Arial"/>
                <w:b/>
                <w:szCs w:val="22"/>
              </w:rPr>
              <w:t xml:space="preserve">www.1chancerylane.com </w:t>
            </w:r>
          </w:p>
          <w:p w:rsidR="005A7488" w:rsidRPr="00020E04" w:rsidRDefault="005A7488" w:rsidP="00B66A8B">
            <w:pPr>
              <w:jc w:val="center"/>
              <w:rPr>
                <w:rFonts w:ascii="Calibri" w:hAnsi="Calibri" w:cs="Arial"/>
                <w:b/>
                <w:sz w:val="22"/>
                <w:szCs w:val="22"/>
              </w:rPr>
            </w:pPr>
          </w:p>
          <w:p w:rsidR="008D2C1C" w:rsidRPr="00020E04" w:rsidRDefault="008D2C1C" w:rsidP="008D2C1C">
            <w:pPr>
              <w:rPr>
                <w:rFonts w:ascii="Calibri" w:hAnsi="Calibri" w:cs="Arial"/>
                <w:sz w:val="20"/>
                <w:szCs w:val="20"/>
              </w:rPr>
            </w:pPr>
          </w:p>
          <w:p w:rsidR="008D2C1C" w:rsidRPr="00020E04" w:rsidRDefault="008D2C1C" w:rsidP="008D2C1C">
            <w:pPr>
              <w:rPr>
                <w:rFonts w:ascii="Calibri" w:hAnsi="Calibri" w:cs="Arial"/>
                <w:sz w:val="20"/>
                <w:szCs w:val="20"/>
              </w:rPr>
            </w:pPr>
          </w:p>
          <w:p w:rsidR="005A7488" w:rsidRPr="00020E04" w:rsidRDefault="009D0ADD" w:rsidP="008D2C1C">
            <w:pPr>
              <w:rPr>
                <w:rFonts w:ascii="Calibri" w:hAnsi="Calibri" w:cs="Arial"/>
                <w:sz w:val="20"/>
                <w:szCs w:val="20"/>
              </w:rPr>
            </w:pPr>
            <w:r>
              <w:rPr>
                <w:rFonts w:ascii="Calibri" w:hAnsi="Calibri" w:cs="Arial"/>
                <w:noProof/>
                <w:sz w:val="20"/>
                <w:szCs w:val="20"/>
                <w:lang w:val="en-GB" w:eastAsia="en-GB"/>
              </w:rPr>
              <w:drawing>
                <wp:inline distT="0" distB="0" distL="0" distR="0">
                  <wp:extent cx="2427514" cy="2710543"/>
                  <wp:effectExtent l="0" t="0" r="0" b="0"/>
                  <wp:docPr id="4" name="Picture 4" descr="C:\Users\MC\AppData\Local\Microsoft\Windows\INetCache\IE\7AUIB09V\spring-in-chapel-hill-ahh-sp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ppData\Local\Microsoft\Windows\INetCache\IE\7AUIB09V\spring-in-chapel-hill-ahh-sprin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05" cy="2710645"/>
                          </a:xfrm>
                          <a:prstGeom prst="rect">
                            <a:avLst/>
                          </a:prstGeom>
                          <a:noFill/>
                          <a:ln>
                            <a:noFill/>
                          </a:ln>
                        </pic:spPr>
                      </pic:pic>
                    </a:graphicData>
                  </a:graphic>
                </wp:inline>
              </w:drawing>
            </w:r>
          </w:p>
        </w:tc>
        <w:tc>
          <w:tcPr>
            <w:tcW w:w="2539" w:type="dxa"/>
            <w:tcBorders>
              <w:top w:val="single" w:sz="4" w:space="0" w:color="auto"/>
              <w:left w:val="single" w:sz="4" w:space="0" w:color="auto"/>
              <w:bottom w:val="single" w:sz="4" w:space="0" w:color="auto"/>
              <w:right w:val="single" w:sz="4" w:space="0" w:color="auto"/>
            </w:tcBorders>
            <w:shd w:val="clear" w:color="auto" w:fill="D9E7F3"/>
          </w:tcPr>
          <w:p w:rsidR="005A7488" w:rsidRPr="00020E04" w:rsidRDefault="005A7488" w:rsidP="00B66A8B">
            <w:pPr>
              <w:rPr>
                <w:rFonts w:ascii="Calibri" w:hAnsi="Calibri" w:cs="Arial"/>
              </w:rPr>
            </w:pPr>
          </w:p>
          <w:p w:rsidR="005A7488" w:rsidRPr="00020E04" w:rsidRDefault="001A0C5D" w:rsidP="00B66A8B">
            <w:pPr>
              <w:jc w:val="center"/>
              <w:rPr>
                <w:rFonts w:ascii="Calibri" w:hAnsi="Calibri" w:cs="Arial"/>
              </w:rPr>
            </w:pPr>
            <w:r w:rsidRPr="00020E04">
              <w:rPr>
                <w:rFonts w:ascii="Calibri" w:hAnsi="Calibri" w:cs="Arial"/>
                <w:noProof/>
                <w:lang w:val="en-GB" w:eastAsia="en-GB"/>
              </w:rPr>
              <w:drawing>
                <wp:inline distT="0" distB="0" distL="0" distR="0" wp14:anchorId="5D93C1A9" wp14:editId="08794FA2">
                  <wp:extent cx="1475105" cy="1353185"/>
                  <wp:effectExtent l="0" t="0" r="0" b="0"/>
                  <wp:docPr id="59" name="Picture 59" descr="NEW%20SMAL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EW%20SMALL%20LOGO%2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1353185"/>
                          </a:xfrm>
                          <a:prstGeom prst="rect">
                            <a:avLst/>
                          </a:prstGeom>
                          <a:noFill/>
                          <a:ln>
                            <a:noFill/>
                          </a:ln>
                        </pic:spPr>
                      </pic:pic>
                    </a:graphicData>
                  </a:graphic>
                </wp:inline>
              </w:drawing>
            </w:r>
          </w:p>
          <w:p w:rsidR="005A7488" w:rsidRPr="00020E04" w:rsidRDefault="005A7488" w:rsidP="00B66A8B">
            <w:pPr>
              <w:rPr>
                <w:rFonts w:ascii="Calibri" w:hAnsi="Calibri" w:cs="Arial"/>
              </w:rPr>
            </w:pPr>
          </w:p>
          <w:p w:rsidR="005A7488" w:rsidRPr="00020E04" w:rsidRDefault="005A7488" w:rsidP="00B66A8B">
            <w:pPr>
              <w:jc w:val="center"/>
              <w:rPr>
                <w:rFonts w:ascii="Calibri" w:hAnsi="Calibri" w:cs="Arial"/>
                <w:u w:val="single"/>
              </w:rPr>
            </w:pPr>
          </w:p>
          <w:p w:rsidR="005A7488" w:rsidRPr="00020E04" w:rsidRDefault="005A7488" w:rsidP="00B66A8B">
            <w:pPr>
              <w:jc w:val="center"/>
              <w:rPr>
                <w:rFonts w:ascii="Calibri" w:hAnsi="Calibri" w:cs="Arial"/>
                <w:b/>
                <w:sz w:val="21"/>
                <w:szCs w:val="21"/>
              </w:rPr>
            </w:pPr>
            <w:r w:rsidRPr="00020E04">
              <w:rPr>
                <w:rFonts w:ascii="Calibri" w:hAnsi="Calibri" w:cs="Arial"/>
                <w:b/>
                <w:sz w:val="21"/>
                <w:szCs w:val="21"/>
              </w:rPr>
              <w:t>Travel Law Team</w:t>
            </w:r>
            <w:r w:rsidR="00B76503" w:rsidRPr="00020E04">
              <w:rPr>
                <w:rFonts w:ascii="Calibri" w:hAnsi="Calibri" w:cs="Arial"/>
                <w:b/>
                <w:sz w:val="21"/>
                <w:szCs w:val="21"/>
              </w:rPr>
              <w:t>:</w:t>
            </w:r>
          </w:p>
          <w:p w:rsidR="005A7488" w:rsidRPr="00020E04" w:rsidRDefault="005A7488" w:rsidP="00B66A8B">
            <w:pPr>
              <w:jc w:val="center"/>
              <w:rPr>
                <w:rFonts w:ascii="Calibri" w:hAnsi="Calibri" w:cs="Arial"/>
                <w:sz w:val="20"/>
                <w:szCs w:val="20"/>
                <w:u w:val="single"/>
              </w:rPr>
            </w:pP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John Ross QC</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Matthew Chapman</w:t>
            </w:r>
            <w:r w:rsidR="00F048AA" w:rsidRPr="00020E04">
              <w:rPr>
                <w:rFonts w:ascii="Calibri" w:hAnsi="Calibri" w:cs="Arial"/>
                <w:sz w:val="21"/>
                <w:szCs w:val="21"/>
              </w:rPr>
              <w:t xml:space="preserve"> QC</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Sophie Mortimer</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Sarah Prager</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Simon Trigger</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Ben Hicks</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Laura Johnson</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Jack Harding</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Andrew Spencer</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Ian Clarke</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Lisa Dobie</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Roderick Abbott</w:t>
            </w:r>
          </w:p>
          <w:p w:rsidR="005A7488" w:rsidRPr="00020E04" w:rsidRDefault="005A7488" w:rsidP="00B66A8B">
            <w:pPr>
              <w:jc w:val="center"/>
              <w:rPr>
                <w:rFonts w:ascii="Calibri" w:hAnsi="Calibri" w:cs="Arial"/>
                <w:sz w:val="21"/>
                <w:szCs w:val="21"/>
              </w:rPr>
            </w:pPr>
            <w:r w:rsidRPr="00020E04">
              <w:rPr>
                <w:rFonts w:ascii="Calibri" w:hAnsi="Calibri" w:cs="Arial"/>
                <w:sz w:val="21"/>
                <w:szCs w:val="21"/>
              </w:rPr>
              <w:t>Tom Collins</w:t>
            </w:r>
          </w:p>
          <w:p w:rsidR="008D2C1C" w:rsidRPr="00020E04" w:rsidRDefault="008D2C1C" w:rsidP="00B66A8B">
            <w:pPr>
              <w:jc w:val="center"/>
              <w:rPr>
                <w:rFonts w:ascii="Calibri" w:hAnsi="Calibri" w:cs="Arial"/>
                <w:sz w:val="21"/>
                <w:szCs w:val="21"/>
              </w:rPr>
            </w:pPr>
            <w:r w:rsidRPr="00020E04">
              <w:rPr>
                <w:rFonts w:ascii="Calibri" w:hAnsi="Calibri" w:cs="Arial"/>
                <w:sz w:val="21"/>
                <w:szCs w:val="21"/>
              </w:rPr>
              <w:t>Francesca O’Neill</w:t>
            </w:r>
          </w:p>
          <w:p w:rsidR="007C4376" w:rsidRPr="00020E04" w:rsidRDefault="007C4376" w:rsidP="00B66A8B">
            <w:pPr>
              <w:jc w:val="center"/>
              <w:rPr>
                <w:rFonts w:ascii="Calibri" w:hAnsi="Calibri" w:cs="Arial"/>
                <w:sz w:val="21"/>
                <w:szCs w:val="21"/>
              </w:rPr>
            </w:pPr>
            <w:r w:rsidRPr="00020E04">
              <w:rPr>
                <w:rFonts w:ascii="Calibri" w:hAnsi="Calibri" w:cs="Arial"/>
                <w:sz w:val="21"/>
                <w:szCs w:val="21"/>
              </w:rPr>
              <w:t>Katie Ayres</w:t>
            </w:r>
          </w:p>
          <w:p w:rsidR="00C354CE" w:rsidRPr="00020E04" w:rsidRDefault="00C354CE" w:rsidP="00B66A8B">
            <w:pPr>
              <w:jc w:val="center"/>
              <w:rPr>
                <w:rFonts w:ascii="Calibri" w:hAnsi="Calibri" w:cs="Arial"/>
                <w:sz w:val="21"/>
                <w:szCs w:val="21"/>
              </w:rPr>
            </w:pPr>
            <w:r w:rsidRPr="00020E04">
              <w:rPr>
                <w:rFonts w:ascii="Calibri" w:hAnsi="Calibri" w:cs="Arial"/>
                <w:sz w:val="21"/>
                <w:szCs w:val="21"/>
              </w:rPr>
              <w:t>Ella Davis</w:t>
            </w:r>
          </w:p>
          <w:p w:rsidR="00C354CE" w:rsidRPr="00020E04" w:rsidRDefault="00B532A1" w:rsidP="00B66A8B">
            <w:pPr>
              <w:jc w:val="center"/>
              <w:rPr>
                <w:rFonts w:ascii="Calibri" w:hAnsi="Calibri" w:cs="Arial"/>
                <w:sz w:val="21"/>
                <w:szCs w:val="21"/>
              </w:rPr>
            </w:pPr>
            <w:r w:rsidRPr="00020E04">
              <w:rPr>
                <w:rFonts w:ascii="Calibri" w:hAnsi="Calibri" w:cs="Arial"/>
                <w:sz w:val="21"/>
                <w:szCs w:val="21"/>
              </w:rPr>
              <w:t>Richard Collier</w:t>
            </w:r>
          </w:p>
          <w:p w:rsidR="00B532A1" w:rsidRPr="00020E04" w:rsidRDefault="00B532A1" w:rsidP="00B66A8B">
            <w:pPr>
              <w:jc w:val="center"/>
              <w:rPr>
                <w:rFonts w:ascii="Calibri" w:hAnsi="Calibri" w:cs="Arial"/>
                <w:sz w:val="21"/>
                <w:szCs w:val="21"/>
              </w:rPr>
            </w:pPr>
            <w:r w:rsidRPr="00020E04">
              <w:rPr>
                <w:rFonts w:ascii="Calibri" w:hAnsi="Calibri" w:cs="Arial"/>
                <w:sz w:val="21"/>
                <w:szCs w:val="21"/>
              </w:rPr>
              <w:t>Dominique Smith</w:t>
            </w:r>
          </w:p>
          <w:p w:rsidR="005A7488" w:rsidRPr="00020E04" w:rsidRDefault="00615311" w:rsidP="00B66A8B">
            <w:pPr>
              <w:jc w:val="center"/>
              <w:rPr>
                <w:rFonts w:ascii="Calibri" w:hAnsi="Calibri" w:cs="Arial"/>
              </w:rPr>
            </w:pPr>
            <w:r>
              <w:rPr>
                <w:rFonts w:ascii="Calibri" w:hAnsi="Calibri" w:cs="Arial"/>
              </w:rPr>
              <w:t>Susanna Bennett</w:t>
            </w:r>
          </w:p>
        </w:tc>
      </w:tr>
    </w:tbl>
    <w:p w:rsidR="00193B00" w:rsidRPr="00020E04" w:rsidRDefault="005E7FC1" w:rsidP="00117654">
      <w:pPr>
        <w:rPr>
          <w:rFonts w:ascii="Calibri" w:hAnsi="Calibri" w:cs="Arial"/>
          <w:sz w:val="28"/>
          <w:szCs w:val="28"/>
        </w:rPr>
      </w:pPr>
      <w:r w:rsidRPr="00020E04">
        <w:rPr>
          <w:noProof/>
          <w:lang w:val="en-GB" w:eastAsia="en-GB"/>
        </w:rPr>
        <w:t xml:space="preserve"> </w:t>
      </w:r>
    </w:p>
    <w:p w:rsidR="008A1E9D" w:rsidRPr="00020E04" w:rsidRDefault="008D2C1C" w:rsidP="00117654">
      <w:pPr>
        <w:rPr>
          <w:rFonts w:ascii="Calibri" w:hAnsi="Calibri" w:cs="Arial"/>
          <w:sz w:val="28"/>
          <w:szCs w:val="28"/>
        </w:rPr>
      </w:pPr>
      <w:r w:rsidRPr="00020E04">
        <w:rPr>
          <w:noProof/>
          <w:lang w:val="en-GB" w:eastAsia="en-GB"/>
        </w:rPr>
        <mc:AlternateContent>
          <mc:Choice Requires="wps">
            <w:drawing>
              <wp:anchor distT="0" distB="0" distL="114300" distR="114300" simplePos="0" relativeHeight="251663872" behindDoc="0" locked="0" layoutInCell="1" allowOverlap="1" wp14:anchorId="7E5ECA9E" wp14:editId="158FF9F3">
                <wp:simplePos x="0" y="0"/>
                <wp:positionH relativeFrom="column">
                  <wp:posOffset>-424543</wp:posOffset>
                </wp:positionH>
                <wp:positionV relativeFrom="paragraph">
                  <wp:posOffset>22860</wp:posOffset>
                </wp:positionV>
                <wp:extent cx="6084026" cy="1066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26"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C5D" w:rsidRPr="007C4376" w:rsidRDefault="00122DAC" w:rsidP="007C4376">
                            <w:pPr>
                              <w:jc w:val="center"/>
                              <w:rPr>
                                <w:rFonts w:ascii="Arial Black" w:hAnsi="Arial Black"/>
                                <w:b/>
                                <w:sz w:val="36"/>
                                <w:szCs w:val="36"/>
                              </w:rPr>
                            </w:pPr>
                            <w:r>
                              <w:rPr>
                                <w:rFonts w:ascii="Arial Black" w:hAnsi="Arial Black"/>
                                <w:b/>
                                <w:sz w:val="36"/>
                                <w:szCs w:val="36"/>
                              </w:rPr>
                              <w:t xml:space="preserve">April </w:t>
                            </w:r>
                            <w:r w:rsidR="00481CC6">
                              <w:rPr>
                                <w:rFonts w:ascii="Arial Black" w:hAnsi="Arial Black"/>
                                <w:b/>
                                <w:sz w:val="36"/>
                                <w:szCs w:val="36"/>
                              </w:rPr>
                              <w:t>2</w:t>
                            </w:r>
                            <w:r w:rsidR="00146ADE">
                              <w:rPr>
                                <w:rFonts w:ascii="Arial Black" w:hAnsi="Arial Black"/>
                                <w:b/>
                                <w:sz w:val="36"/>
                                <w:szCs w:val="36"/>
                              </w:rPr>
                              <w:t>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1.8pt;width:479.05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" filled="f" stroked="f">
                <v:textbox>
                  <w:txbxContent>
                    <w:p w:rsidR="001A0C5D" w:rsidRPr="007C4376" w:rsidRDefault="00122DAC" w:rsidP="007C4376">
                      <w:pPr>
                        <w:jc w:val="center"/>
                        <w:rPr>
                          <w:rFonts w:ascii="Arial Black" w:hAnsi="Arial Black"/>
                          <w:b/>
                          <w:sz w:val="36"/>
                          <w:szCs w:val="36"/>
                        </w:rPr>
                      </w:pPr>
                      <w:r>
                        <w:rPr>
                          <w:rFonts w:ascii="Arial Black" w:hAnsi="Arial Black"/>
                          <w:b/>
                          <w:sz w:val="36"/>
                          <w:szCs w:val="36"/>
                        </w:rPr>
                        <w:t xml:space="preserve">April </w:t>
                      </w:r>
                      <w:r w:rsidR="00481CC6">
                        <w:rPr>
                          <w:rFonts w:ascii="Arial Black" w:hAnsi="Arial Black"/>
                          <w:b/>
                          <w:sz w:val="36"/>
                          <w:szCs w:val="36"/>
                        </w:rPr>
                        <w:t>2</w:t>
                      </w:r>
                      <w:r w:rsidR="00146ADE">
                        <w:rPr>
                          <w:rFonts w:ascii="Arial Black" w:hAnsi="Arial Black"/>
                          <w:b/>
                          <w:sz w:val="36"/>
                          <w:szCs w:val="36"/>
                        </w:rPr>
                        <w:t>019</w:t>
                      </w:r>
                    </w:p>
                  </w:txbxContent>
                </v:textbox>
              </v:shape>
            </w:pict>
          </mc:Fallback>
        </mc:AlternateContent>
      </w:r>
    </w:p>
    <w:p w:rsidR="008A1E9D" w:rsidRPr="00020E04" w:rsidRDefault="008A1E9D" w:rsidP="00117654">
      <w:pPr>
        <w:rPr>
          <w:rFonts w:ascii="Calibri" w:hAnsi="Calibri" w:cs="Arial"/>
          <w:sz w:val="28"/>
          <w:szCs w:val="28"/>
        </w:rPr>
      </w:pPr>
    </w:p>
    <w:p w:rsidR="008A1E9D" w:rsidRPr="00020E04" w:rsidRDefault="009D0ADD" w:rsidP="00117654">
      <w:pPr>
        <w:rPr>
          <w:rFonts w:ascii="Calibri" w:hAnsi="Calibri" w:cs="Arial"/>
          <w:sz w:val="28"/>
          <w:szCs w:val="28"/>
        </w:rPr>
      </w:pPr>
      <w:r w:rsidRPr="00020E04">
        <w:rPr>
          <w:rFonts w:ascii="Calibri" w:hAnsi="Calibri" w:cs="Arial"/>
          <w:noProof/>
          <w:sz w:val="28"/>
          <w:szCs w:val="28"/>
          <w:lang w:val="en-GB" w:eastAsia="en-GB"/>
        </w:rPr>
        <mc:AlternateContent>
          <mc:Choice Requires="wps">
            <w:drawing>
              <wp:anchor distT="0" distB="0" distL="114300" distR="114300" simplePos="0" relativeHeight="251657728" behindDoc="0" locked="0" layoutInCell="1" allowOverlap="1" wp14:anchorId="7C967C18" wp14:editId="34238ED1">
                <wp:simplePos x="0" y="0"/>
                <wp:positionH relativeFrom="column">
                  <wp:posOffset>-424815</wp:posOffset>
                </wp:positionH>
                <wp:positionV relativeFrom="paragraph">
                  <wp:posOffset>189865</wp:posOffset>
                </wp:positionV>
                <wp:extent cx="6084570" cy="2917190"/>
                <wp:effectExtent l="0" t="0" r="11430" b="1651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17190"/>
                        </a:xfrm>
                        <a:prstGeom prst="rect">
                          <a:avLst/>
                        </a:prstGeom>
                        <a:solidFill>
                          <a:srgbClr val="FFFFFF"/>
                        </a:solidFill>
                        <a:ln w="19050">
                          <a:solidFill>
                            <a:srgbClr val="000000"/>
                          </a:solidFill>
                          <a:miter lim="800000"/>
                          <a:headEnd/>
                          <a:tailEnd/>
                        </a:ln>
                      </wps:spPr>
                      <wps:txbx>
                        <w:txbxContent>
                          <w:p w:rsidR="009D0ADD" w:rsidRPr="009D0ADD" w:rsidRDefault="009D0ADD" w:rsidP="009D0ADD">
                            <w:r w:rsidRPr="009D0ADD">
                              <w:t xml:space="preserve">This Newsletter brings you the Supreme Court’s latest </w:t>
                            </w:r>
                            <w:proofErr w:type="spellStart"/>
                            <w:proofErr w:type="gramStart"/>
                            <w:r w:rsidRPr="009D0ADD">
                              <w:t>agonised</w:t>
                            </w:r>
                            <w:proofErr w:type="spellEnd"/>
                            <w:r w:rsidRPr="009D0ADD">
                              <w:t xml:space="preserve">  musings</w:t>
                            </w:r>
                            <w:proofErr w:type="gramEnd"/>
                            <w:r w:rsidRPr="009D0ADD">
                              <w:t xml:space="preserve"> on jurisdiction: a hot-off-the-press judgment reached after much “anxious consideration” (as its author, Lord Briggs put it). Imagine a group of overseas Claimants in a jurisdiction lacking the funding, expertise and other advantages that might be obtained by suing in England. These Claimants have a bit of luck: there is a claim against </w:t>
                            </w:r>
                            <w:proofErr w:type="spellStart"/>
                            <w:r w:rsidRPr="009D0ADD">
                              <w:t>ACo</w:t>
                            </w:r>
                            <w:proofErr w:type="spellEnd"/>
                            <w:r w:rsidRPr="009D0ADD">
                              <w:t>, an English corporation with ultimate control of the premises th</w:t>
                            </w:r>
                            <w:r w:rsidR="00615311">
                              <w:t>at are the subject of the claim</w:t>
                            </w:r>
                            <w:r w:rsidRPr="009D0ADD">
                              <w:t xml:space="preserve">. The group’s claim against </w:t>
                            </w:r>
                            <w:proofErr w:type="spellStart"/>
                            <w:r w:rsidRPr="009D0ADD">
                              <w:t>ACo</w:t>
                            </w:r>
                            <w:proofErr w:type="spellEnd"/>
                            <w:r w:rsidRPr="009D0ADD">
                              <w:t xml:space="preserve"> is rather thin</w:t>
                            </w:r>
                            <w:r w:rsidR="00615311">
                              <w:t xml:space="preserve"> on the merits</w:t>
                            </w:r>
                            <w:r w:rsidRPr="009D0ADD">
                              <w:t xml:space="preserve">, but this claim is an invaluable anchor to the claim that the group </w:t>
                            </w:r>
                            <w:r w:rsidR="00615311">
                              <w:t xml:space="preserve">really </w:t>
                            </w:r>
                            <w:r w:rsidRPr="009D0ADD">
                              <w:t xml:space="preserve">wants to pursue against </w:t>
                            </w:r>
                            <w:proofErr w:type="spellStart"/>
                            <w:r w:rsidRPr="009D0ADD">
                              <w:t>BCo</w:t>
                            </w:r>
                            <w:proofErr w:type="spellEnd"/>
                            <w:r w:rsidRPr="009D0ADD">
                              <w:t xml:space="preserve">, the owner and principal operator of the subject premises. </w:t>
                            </w:r>
                            <w:proofErr w:type="spellStart"/>
                            <w:r w:rsidRPr="009D0ADD">
                              <w:t>BCo</w:t>
                            </w:r>
                            <w:proofErr w:type="spellEnd"/>
                            <w:r w:rsidRPr="009D0ADD">
                              <w:t xml:space="preserve"> is </w:t>
                            </w:r>
                            <w:proofErr w:type="gramStart"/>
                            <w:r w:rsidRPr="009D0ADD">
                              <w:t>registered/domiciled</w:t>
                            </w:r>
                            <w:proofErr w:type="gramEnd"/>
                            <w:r w:rsidRPr="009D0ADD">
                              <w:t xml:space="preserve"> outside England </w:t>
                            </w:r>
                            <w:r w:rsidR="00615311">
                              <w:t xml:space="preserve">and </w:t>
                            </w:r>
                            <w:r w:rsidRPr="009D0ADD">
                              <w:t>outside the European Union. However, the group’s position is: (</w:t>
                            </w:r>
                            <w:proofErr w:type="spellStart"/>
                            <w:r w:rsidRPr="009D0ADD">
                              <w:t>i</w:t>
                            </w:r>
                            <w:proofErr w:type="spellEnd"/>
                            <w:r w:rsidRPr="009D0ADD">
                              <w:t xml:space="preserve">) they have an Article 4(1) recast Brussels I right to sue </w:t>
                            </w:r>
                            <w:proofErr w:type="spellStart"/>
                            <w:r w:rsidRPr="009D0ADD">
                              <w:t>ACo</w:t>
                            </w:r>
                            <w:proofErr w:type="spellEnd"/>
                            <w:r w:rsidRPr="009D0ADD">
                              <w:t xml:space="preserve"> in England and – post </w:t>
                            </w:r>
                            <w:proofErr w:type="spellStart"/>
                            <w:r w:rsidRPr="009D0ADD">
                              <w:rPr>
                                <w:b/>
                                <w:i/>
                              </w:rPr>
                              <w:t>Owusu</w:t>
                            </w:r>
                            <w:proofErr w:type="spellEnd"/>
                            <w:r w:rsidRPr="009D0ADD">
                              <w:rPr>
                                <w:b/>
                                <w:i/>
                              </w:rPr>
                              <w:t xml:space="preserve"> v Jackson</w:t>
                            </w:r>
                            <w:r w:rsidRPr="009D0ADD">
                              <w:t xml:space="preserve"> – this right cannot be displaced by </w:t>
                            </w:r>
                            <w:r w:rsidRPr="00615311">
                              <w:rPr>
                                <w:i/>
                              </w:rPr>
                              <w:t xml:space="preserve">forum </w:t>
                            </w:r>
                            <w:proofErr w:type="spellStart"/>
                            <w:r w:rsidRPr="00615311">
                              <w:rPr>
                                <w:i/>
                              </w:rPr>
                              <w:t>conveniens</w:t>
                            </w:r>
                            <w:proofErr w:type="spellEnd"/>
                            <w:r w:rsidRPr="009D0ADD">
                              <w:t xml:space="preserve"> considerations (even if the claim is otherwise much more closely connected to the foreign jurisdiction</w:t>
                            </w:r>
                            <w:r w:rsidR="00615311">
                              <w:t xml:space="preserve"> where </w:t>
                            </w:r>
                            <w:proofErr w:type="spellStart"/>
                            <w:r w:rsidR="00615311">
                              <w:t>BCo</w:t>
                            </w:r>
                            <w:proofErr w:type="spellEnd"/>
                            <w:r w:rsidR="00615311">
                              <w:t xml:space="preserve"> is registered</w:t>
                            </w:r>
                            <w:r w:rsidRPr="009D0ADD">
                              <w:t xml:space="preserve">); (ii) moreover, </w:t>
                            </w:r>
                            <w:proofErr w:type="spellStart"/>
                            <w:r w:rsidRPr="009D0ADD">
                              <w:t>BCo</w:t>
                            </w:r>
                            <w:proofErr w:type="spellEnd"/>
                            <w:r w:rsidRPr="009D0ADD">
                              <w:t xml:space="preserve"> is a necessary and proper party to the claim and, even if </w:t>
                            </w:r>
                            <w:r w:rsidRPr="00615311">
                              <w:rPr>
                                <w:i/>
                              </w:rPr>
                              <w:t xml:space="preserve">forum </w:t>
                            </w:r>
                            <w:proofErr w:type="spellStart"/>
                            <w:r w:rsidRPr="00615311">
                              <w:rPr>
                                <w:i/>
                              </w:rPr>
                              <w:t>conveniens</w:t>
                            </w:r>
                            <w:proofErr w:type="spellEnd"/>
                            <w:r w:rsidRPr="009D0ADD">
                              <w:t xml:space="preserve"> considerations might be relevant to jurisdiction </w:t>
                            </w:r>
                            <w:r w:rsidR="00615311">
                              <w:t xml:space="preserve">for </w:t>
                            </w:r>
                            <w:r w:rsidRPr="009D0ADD">
                              <w:t xml:space="preserve">to this claim, the risk of irreconcilable judgments means that </w:t>
                            </w:r>
                            <w:proofErr w:type="spellStart"/>
                            <w:r w:rsidRPr="009D0ADD">
                              <w:t>BCo</w:t>
                            </w:r>
                            <w:proofErr w:type="spellEnd"/>
                            <w:r w:rsidRPr="009D0ADD">
                              <w:t xml:space="preserve"> must also take its place in the English Court alongside </w:t>
                            </w:r>
                            <w:proofErr w:type="spellStart"/>
                            <w:r w:rsidRPr="009D0ADD">
                              <w:t>ACo</w:t>
                            </w:r>
                            <w:proofErr w:type="spellEnd"/>
                            <w:r w:rsidRPr="009D0ADD">
                              <w:t xml:space="preserve">. What’s the solution to this conundrum? Read on …   </w:t>
                            </w:r>
                          </w:p>
                          <w:p w:rsidR="006B4E59" w:rsidRPr="006B4E59" w:rsidRDefault="00E82C84" w:rsidP="006B4E59">
                            <w:pPr>
                              <w:rPr>
                                <w:rFonts w:asciiTheme="minorHAnsi" w:hAnsiTheme="minorHAnsi"/>
                                <w:sz w:val="22"/>
                                <w:szCs w:val="22"/>
                              </w:rPr>
                            </w:pPr>
                            <w:r>
                              <w:rPr>
                                <w:rFonts w:asciiTheme="minorHAnsi" w:hAnsiTheme="minorHAnsi"/>
                                <w:sz w:val="22"/>
                                <w:szCs w:val="22"/>
                              </w:rPr>
                              <w:t>!</w:t>
                            </w:r>
                          </w:p>
                          <w:p w:rsidR="00920106" w:rsidRPr="005817DA" w:rsidRDefault="00920106" w:rsidP="00AD1650">
                            <w:pPr>
                              <w:jc w:val="both"/>
                              <w:rPr>
                                <w:rFonts w:ascii="Calibri" w:hAnsi="Calibri"/>
                                <w:color w:val="00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7" type="#_x0000_t202" style="position:absolute;margin-left:-33.45pt;margin-top:14.95pt;width:479.1pt;height:2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" strokeweight="1.5pt">
                <v:textbox>
                  <w:txbxContent>
                    <w:p w:rsidR="009D0ADD" w:rsidRPr="009D0ADD" w:rsidRDefault="009D0ADD" w:rsidP="009D0ADD">
                      <w:r w:rsidRPr="009D0ADD">
                        <w:t xml:space="preserve">This Newsletter brings you the Supreme Court’s latest </w:t>
                      </w:r>
                      <w:proofErr w:type="spellStart"/>
                      <w:proofErr w:type="gramStart"/>
                      <w:r w:rsidRPr="009D0ADD">
                        <w:t>agonised</w:t>
                      </w:r>
                      <w:proofErr w:type="spellEnd"/>
                      <w:r w:rsidRPr="009D0ADD">
                        <w:t xml:space="preserve">  musings</w:t>
                      </w:r>
                      <w:proofErr w:type="gramEnd"/>
                      <w:r w:rsidRPr="009D0ADD">
                        <w:t xml:space="preserve"> on jurisdiction: a hot-off-the-press judgment reached after much “anxious consideration” (as its author, Lord Briggs put it). Imagine a group of overseas Claimants in a jurisdiction lacking the funding, expertise and other advantages that might be obtained by suing in England. These Claimants have a bit of luck: there is a claim against </w:t>
                      </w:r>
                      <w:proofErr w:type="spellStart"/>
                      <w:r w:rsidRPr="009D0ADD">
                        <w:t>ACo</w:t>
                      </w:r>
                      <w:proofErr w:type="spellEnd"/>
                      <w:r w:rsidRPr="009D0ADD">
                        <w:t>, an English corporation with ultimate control of the premises th</w:t>
                      </w:r>
                      <w:r w:rsidR="00615311">
                        <w:t>at are the subject of the claim</w:t>
                      </w:r>
                      <w:r w:rsidRPr="009D0ADD">
                        <w:t xml:space="preserve">. The group’s claim against </w:t>
                      </w:r>
                      <w:proofErr w:type="spellStart"/>
                      <w:r w:rsidRPr="009D0ADD">
                        <w:t>ACo</w:t>
                      </w:r>
                      <w:proofErr w:type="spellEnd"/>
                      <w:r w:rsidRPr="009D0ADD">
                        <w:t xml:space="preserve"> is rather thin</w:t>
                      </w:r>
                      <w:r w:rsidR="00615311">
                        <w:t xml:space="preserve"> on the merits</w:t>
                      </w:r>
                      <w:r w:rsidRPr="009D0ADD">
                        <w:t xml:space="preserve">, but this claim is an invaluable anchor to the claim that the group </w:t>
                      </w:r>
                      <w:r w:rsidR="00615311">
                        <w:t xml:space="preserve">really </w:t>
                      </w:r>
                      <w:r w:rsidRPr="009D0ADD">
                        <w:t xml:space="preserve">wants to pursue against </w:t>
                      </w:r>
                      <w:proofErr w:type="spellStart"/>
                      <w:r w:rsidRPr="009D0ADD">
                        <w:t>BCo</w:t>
                      </w:r>
                      <w:proofErr w:type="spellEnd"/>
                      <w:r w:rsidRPr="009D0ADD">
                        <w:t xml:space="preserve">, the owner and principal operator of the subject premises. </w:t>
                      </w:r>
                      <w:proofErr w:type="spellStart"/>
                      <w:r w:rsidRPr="009D0ADD">
                        <w:t>BCo</w:t>
                      </w:r>
                      <w:proofErr w:type="spellEnd"/>
                      <w:r w:rsidRPr="009D0ADD">
                        <w:t xml:space="preserve"> is </w:t>
                      </w:r>
                      <w:proofErr w:type="gramStart"/>
                      <w:r w:rsidRPr="009D0ADD">
                        <w:t>registered/domiciled</w:t>
                      </w:r>
                      <w:proofErr w:type="gramEnd"/>
                      <w:r w:rsidRPr="009D0ADD">
                        <w:t xml:space="preserve"> outside England </w:t>
                      </w:r>
                      <w:r w:rsidR="00615311">
                        <w:t xml:space="preserve">and </w:t>
                      </w:r>
                      <w:r w:rsidRPr="009D0ADD">
                        <w:t>outside the European Union. However, the group’s position is: (</w:t>
                      </w:r>
                      <w:proofErr w:type="spellStart"/>
                      <w:r w:rsidRPr="009D0ADD">
                        <w:t>i</w:t>
                      </w:r>
                      <w:proofErr w:type="spellEnd"/>
                      <w:r w:rsidRPr="009D0ADD">
                        <w:t xml:space="preserve">) they have an Article 4(1) recast Brussels I right to sue </w:t>
                      </w:r>
                      <w:proofErr w:type="spellStart"/>
                      <w:r w:rsidRPr="009D0ADD">
                        <w:t>ACo</w:t>
                      </w:r>
                      <w:proofErr w:type="spellEnd"/>
                      <w:r w:rsidRPr="009D0ADD">
                        <w:t xml:space="preserve"> in England and – post </w:t>
                      </w:r>
                      <w:proofErr w:type="spellStart"/>
                      <w:r w:rsidRPr="009D0ADD">
                        <w:rPr>
                          <w:b/>
                          <w:i/>
                        </w:rPr>
                        <w:t>Owusu</w:t>
                      </w:r>
                      <w:proofErr w:type="spellEnd"/>
                      <w:r w:rsidRPr="009D0ADD">
                        <w:rPr>
                          <w:b/>
                          <w:i/>
                        </w:rPr>
                        <w:t xml:space="preserve"> v Jackson</w:t>
                      </w:r>
                      <w:r w:rsidRPr="009D0ADD">
                        <w:t xml:space="preserve"> – this right cannot be displaced by </w:t>
                      </w:r>
                      <w:r w:rsidRPr="00615311">
                        <w:rPr>
                          <w:i/>
                        </w:rPr>
                        <w:t xml:space="preserve">forum </w:t>
                      </w:r>
                      <w:proofErr w:type="spellStart"/>
                      <w:r w:rsidRPr="00615311">
                        <w:rPr>
                          <w:i/>
                        </w:rPr>
                        <w:t>conveniens</w:t>
                      </w:r>
                      <w:proofErr w:type="spellEnd"/>
                      <w:r w:rsidRPr="009D0ADD">
                        <w:t xml:space="preserve"> considerations (even if the claim is otherwise much more closely connected to the foreign jurisdiction</w:t>
                      </w:r>
                      <w:r w:rsidR="00615311">
                        <w:t xml:space="preserve"> where </w:t>
                      </w:r>
                      <w:proofErr w:type="spellStart"/>
                      <w:r w:rsidR="00615311">
                        <w:t>BCo</w:t>
                      </w:r>
                      <w:proofErr w:type="spellEnd"/>
                      <w:r w:rsidR="00615311">
                        <w:t xml:space="preserve"> is registered</w:t>
                      </w:r>
                      <w:r w:rsidRPr="009D0ADD">
                        <w:t xml:space="preserve">); (ii) moreover, </w:t>
                      </w:r>
                      <w:proofErr w:type="spellStart"/>
                      <w:r w:rsidRPr="009D0ADD">
                        <w:t>BCo</w:t>
                      </w:r>
                      <w:proofErr w:type="spellEnd"/>
                      <w:r w:rsidRPr="009D0ADD">
                        <w:t xml:space="preserve"> is a necessary and proper party to the claim and, even if </w:t>
                      </w:r>
                      <w:r w:rsidRPr="00615311">
                        <w:rPr>
                          <w:i/>
                        </w:rPr>
                        <w:t xml:space="preserve">forum </w:t>
                      </w:r>
                      <w:proofErr w:type="spellStart"/>
                      <w:r w:rsidRPr="00615311">
                        <w:rPr>
                          <w:i/>
                        </w:rPr>
                        <w:t>conveniens</w:t>
                      </w:r>
                      <w:proofErr w:type="spellEnd"/>
                      <w:r w:rsidRPr="009D0ADD">
                        <w:t xml:space="preserve"> considerations might be relevant to jurisdiction </w:t>
                      </w:r>
                      <w:r w:rsidR="00615311">
                        <w:t xml:space="preserve">for </w:t>
                      </w:r>
                      <w:r w:rsidRPr="009D0ADD">
                        <w:t xml:space="preserve">to this claim, the risk of irreconcilable judgments means that </w:t>
                      </w:r>
                      <w:proofErr w:type="spellStart"/>
                      <w:r w:rsidRPr="009D0ADD">
                        <w:t>BCo</w:t>
                      </w:r>
                      <w:proofErr w:type="spellEnd"/>
                      <w:r w:rsidRPr="009D0ADD">
                        <w:t xml:space="preserve"> must also take its place in the English Court alongside </w:t>
                      </w:r>
                      <w:proofErr w:type="spellStart"/>
                      <w:r w:rsidRPr="009D0ADD">
                        <w:t>ACo</w:t>
                      </w:r>
                      <w:proofErr w:type="spellEnd"/>
                      <w:r w:rsidRPr="009D0ADD">
                        <w:t xml:space="preserve">. What’s the solution to this conundrum? Read on …   </w:t>
                      </w:r>
                    </w:p>
                    <w:p w:rsidR="006B4E59" w:rsidRPr="006B4E59" w:rsidRDefault="00E82C84" w:rsidP="006B4E59">
                      <w:pPr>
                        <w:rPr>
                          <w:rFonts w:asciiTheme="minorHAnsi" w:hAnsiTheme="minorHAnsi"/>
                          <w:sz w:val="22"/>
                          <w:szCs w:val="22"/>
                        </w:rPr>
                      </w:pPr>
                      <w:r>
                        <w:rPr>
                          <w:rFonts w:asciiTheme="minorHAnsi" w:hAnsiTheme="minorHAnsi"/>
                          <w:sz w:val="22"/>
                          <w:szCs w:val="22"/>
                        </w:rPr>
                        <w:t>!</w:t>
                      </w:r>
                    </w:p>
                    <w:p w:rsidR="00920106" w:rsidRPr="005817DA" w:rsidRDefault="00920106" w:rsidP="00AD1650">
                      <w:pPr>
                        <w:jc w:val="both"/>
                        <w:rPr>
                          <w:rFonts w:ascii="Calibri" w:hAnsi="Calibri"/>
                          <w:color w:val="000066"/>
                        </w:rPr>
                      </w:pPr>
                    </w:p>
                  </w:txbxContent>
                </v:textbox>
              </v:shape>
            </w:pict>
          </mc:Fallback>
        </mc:AlternateContent>
      </w:r>
    </w:p>
    <w:p w:rsidR="008A1E9D" w:rsidRPr="00020E04" w:rsidRDefault="008A1E9D" w:rsidP="00117654">
      <w:pPr>
        <w:rPr>
          <w:rFonts w:ascii="Calibri" w:hAnsi="Calibri" w:cs="Arial"/>
          <w:sz w:val="28"/>
          <w:szCs w:val="28"/>
        </w:rPr>
      </w:pPr>
    </w:p>
    <w:p w:rsidR="008A1E9D" w:rsidRPr="00020E04" w:rsidRDefault="008A1E9D" w:rsidP="00117654">
      <w:pPr>
        <w:rPr>
          <w:rFonts w:ascii="Calibri" w:hAnsi="Calibri" w:cs="Arial"/>
          <w:sz w:val="28"/>
          <w:szCs w:val="28"/>
        </w:rPr>
      </w:pPr>
    </w:p>
    <w:p w:rsidR="008C0B08" w:rsidRPr="00020E04" w:rsidRDefault="008C0B08" w:rsidP="008C0B08">
      <w:pPr>
        <w:rPr>
          <w:rFonts w:ascii="Calibri" w:hAnsi="Calibri" w:cs="Arial"/>
          <w:sz w:val="28"/>
          <w:szCs w:val="28"/>
        </w:rPr>
      </w:pPr>
    </w:p>
    <w:p w:rsidR="008C0B08" w:rsidRPr="00020E04" w:rsidRDefault="008C0B08" w:rsidP="008C0B08">
      <w:pPr>
        <w:rPr>
          <w:rFonts w:ascii="Calibri" w:hAnsi="Calibri" w:cs="Arial"/>
          <w:sz w:val="28"/>
          <w:szCs w:val="28"/>
        </w:rPr>
      </w:pPr>
    </w:p>
    <w:p w:rsidR="004A1B11" w:rsidRPr="00020E04" w:rsidRDefault="004A1B11" w:rsidP="00746FA1">
      <w:pPr>
        <w:jc w:val="center"/>
        <w:rPr>
          <w:rFonts w:ascii="Calibri" w:hAnsi="Calibri" w:cs="Arial"/>
          <w:sz w:val="28"/>
          <w:szCs w:val="28"/>
        </w:rPr>
      </w:pPr>
    </w:p>
    <w:p w:rsidR="004A1B11" w:rsidRPr="00020E04" w:rsidRDefault="004A1B11" w:rsidP="00746FA1">
      <w:pPr>
        <w:jc w:val="center"/>
        <w:rPr>
          <w:rFonts w:ascii="Calibri" w:hAnsi="Calibri" w:cs="Arial"/>
          <w:sz w:val="28"/>
          <w:szCs w:val="28"/>
        </w:rPr>
      </w:pPr>
    </w:p>
    <w:p w:rsidR="008708D3" w:rsidRPr="00020E04" w:rsidRDefault="008708D3" w:rsidP="008708D3">
      <w:pPr>
        <w:jc w:val="both"/>
        <w:rPr>
          <w:rFonts w:ascii="Calibri" w:hAnsi="Calibri" w:cs="Arial"/>
          <w:sz w:val="28"/>
          <w:szCs w:val="28"/>
        </w:rPr>
      </w:pPr>
    </w:p>
    <w:p w:rsidR="00D328CD" w:rsidRPr="00020E04" w:rsidRDefault="00D328CD" w:rsidP="008C0B08">
      <w:pPr>
        <w:rPr>
          <w:rFonts w:ascii="Calibri" w:hAnsi="Calibri" w:cs="Arial"/>
          <w:sz w:val="28"/>
          <w:szCs w:val="28"/>
        </w:rPr>
        <w:sectPr w:rsidR="00D328CD" w:rsidRPr="00020E04" w:rsidSect="008D29D6">
          <w:footerReference w:type="even" r:id="rId12"/>
          <w:footerReference w:type="default" r:id="rId13"/>
          <w:type w:val="continuous"/>
          <w:pgSz w:w="11909" w:h="16834" w:code="9"/>
          <w:pgMar w:top="1440" w:right="1800" w:bottom="1078" w:left="1800" w:header="720" w:footer="720" w:gutter="0"/>
          <w:cols w:space="720"/>
          <w:formProt w:val="0"/>
        </w:sectPr>
      </w:pPr>
    </w:p>
    <w:p w:rsidR="007A210E" w:rsidRPr="00020E04" w:rsidRDefault="007A210E" w:rsidP="00FB5ACE">
      <w:pPr>
        <w:spacing w:line="276" w:lineRule="auto"/>
        <w:jc w:val="both"/>
        <w:rPr>
          <w:rFonts w:ascii="Calibri" w:hAnsi="Calibri"/>
          <w:b/>
          <w:sz w:val="21"/>
          <w:szCs w:val="21"/>
          <w:u w:val="single"/>
        </w:rPr>
      </w:pPr>
    </w:p>
    <w:p w:rsidR="0028400C" w:rsidRPr="00020E04" w:rsidRDefault="0028400C" w:rsidP="00FB5ACE">
      <w:pPr>
        <w:spacing w:line="276" w:lineRule="auto"/>
        <w:jc w:val="both"/>
        <w:rPr>
          <w:rFonts w:ascii="Calibri" w:hAnsi="Calibri"/>
          <w:b/>
          <w:i/>
          <w:sz w:val="26"/>
          <w:szCs w:val="26"/>
        </w:rPr>
      </w:pPr>
    </w:p>
    <w:p w:rsidR="0028400C" w:rsidRPr="00020E04" w:rsidRDefault="0028400C" w:rsidP="00FB5ACE">
      <w:pPr>
        <w:spacing w:line="276" w:lineRule="auto"/>
        <w:jc w:val="both"/>
        <w:rPr>
          <w:rFonts w:ascii="Calibri" w:hAnsi="Calibri"/>
          <w:b/>
          <w:i/>
          <w:sz w:val="26"/>
          <w:szCs w:val="26"/>
        </w:rPr>
      </w:pPr>
    </w:p>
    <w:p w:rsidR="0028400C" w:rsidRPr="00020E04" w:rsidRDefault="0028400C" w:rsidP="00FB5ACE">
      <w:pPr>
        <w:spacing w:line="276" w:lineRule="auto"/>
        <w:jc w:val="both"/>
        <w:rPr>
          <w:rFonts w:ascii="Calibri" w:hAnsi="Calibri"/>
          <w:b/>
          <w:i/>
          <w:sz w:val="26"/>
          <w:szCs w:val="26"/>
        </w:rPr>
      </w:pPr>
    </w:p>
    <w:p w:rsidR="0028400C" w:rsidRPr="00020E04" w:rsidRDefault="0028400C" w:rsidP="00FB5ACE">
      <w:pPr>
        <w:spacing w:line="276" w:lineRule="auto"/>
        <w:jc w:val="both"/>
        <w:rPr>
          <w:rFonts w:ascii="Calibri" w:hAnsi="Calibri"/>
          <w:b/>
          <w:i/>
          <w:sz w:val="26"/>
          <w:szCs w:val="26"/>
        </w:rPr>
      </w:pPr>
    </w:p>
    <w:p w:rsidR="00DA45FF" w:rsidRPr="00020E04" w:rsidRDefault="00DA45FF" w:rsidP="00FB5ACE">
      <w:pPr>
        <w:spacing w:line="276" w:lineRule="auto"/>
        <w:jc w:val="both"/>
        <w:rPr>
          <w:rFonts w:ascii="Calibri" w:hAnsi="Calibri"/>
          <w:b/>
          <w:i/>
          <w:sz w:val="26"/>
          <w:szCs w:val="26"/>
        </w:rPr>
      </w:pPr>
    </w:p>
    <w:p w:rsidR="00122DAC" w:rsidRDefault="00122DAC" w:rsidP="009D0ADD">
      <w:pPr>
        <w:jc w:val="both"/>
        <w:rPr>
          <w:b/>
        </w:rPr>
      </w:pPr>
      <w:r w:rsidRPr="00064AFE">
        <w:rPr>
          <w:b/>
        </w:rPr>
        <w:lastRenderedPageBreak/>
        <w:t>CASE NOTE:</w:t>
      </w:r>
    </w:p>
    <w:p w:rsidR="00122DAC" w:rsidRDefault="00122DAC" w:rsidP="009D0ADD">
      <w:pPr>
        <w:jc w:val="both"/>
        <w:rPr>
          <w:b/>
          <w:i/>
        </w:rPr>
      </w:pPr>
    </w:p>
    <w:p w:rsidR="00122DAC" w:rsidRPr="00064AFE" w:rsidRDefault="00122DAC" w:rsidP="009D0ADD">
      <w:pPr>
        <w:jc w:val="both"/>
        <w:rPr>
          <w:b/>
        </w:rPr>
      </w:pPr>
      <w:r w:rsidRPr="00064AFE">
        <w:rPr>
          <w:b/>
          <w:i/>
        </w:rPr>
        <w:t xml:space="preserve">Vedanta Resources Plc &amp; Another v </w:t>
      </w:r>
      <w:proofErr w:type="spellStart"/>
      <w:r w:rsidRPr="00064AFE">
        <w:rPr>
          <w:b/>
          <w:i/>
        </w:rPr>
        <w:t>Lungowe</w:t>
      </w:r>
      <w:proofErr w:type="spellEnd"/>
      <w:r w:rsidRPr="00064AFE">
        <w:rPr>
          <w:b/>
          <w:i/>
        </w:rPr>
        <w:t xml:space="preserve"> &amp; Others</w:t>
      </w:r>
      <w:r w:rsidRPr="00064AFE">
        <w:rPr>
          <w:b/>
        </w:rPr>
        <w:t xml:space="preserve"> [2019] UKSC 20</w:t>
      </w:r>
    </w:p>
    <w:p w:rsidR="00122DAC" w:rsidRDefault="00122DAC" w:rsidP="009D0ADD">
      <w:pPr>
        <w:jc w:val="both"/>
      </w:pPr>
    </w:p>
    <w:p w:rsidR="00122DAC" w:rsidRDefault="00122DAC" w:rsidP="009D0ADD">
      <w:pPr>
        <w:jc w:val="both"/>
      </w:pPr>
      <w:r>
        <w:t xml:space="preserve">This case concerned a jurisdictional challenge brought by two corporate entities, one English and one Zambian registered/domiciled, which made its way through the High Court ([2016] EWHC 975 (TCC)) and Court of Appeal ([2018] 1 WLR 3575) before a hearing in the Supreme Court on 15 and 16 January 2019. The Supreme Court judgment (of Lord Briggs, with whom all other Justices of the Court agreed without adding their own thoughts) was published (under the citation above) on 10 April 2019.  </w:t>
      </w:r>
    </w:p>
    <w:p w:rsidR="009D0ADD" w:rsidRDefault="009D0ADD" w:rsidP="009D0ADD">
      <w:pPr>
        <w:jc w:val="both"/>
      </w:pPr>
    </w:p>
    <w:p w:rsidR="00122DAC" w:rsidRDefault="00122DAC" w:rsidP="009D0ADD">
      <w:pPr>
        <w:jc w:val="both"/>
      </w:pPr>
      <w:r>
        <w:t xml:space="preserve">The underlying litigation concerned the </w:t>
      </w:r>
      <w:proofErr w:type="spellStart"/>
      <w:r>
        <w:t>Nchanga</w:t>
      </w:r>
      <w:proofErr w:type="spellEnd"/>
      <w:r>
        <w:t xml:space="preserve"> Copper Mine in Zambia. It was alleged that, in the period from 2005, the Mine had emitted toxic substances into watercourses used by local rural communities for drinking water and as water for livestock and the irrigation of crops. The Claimants were a group of 1,826 Zambian citizens</w:t>
      </w:r>
      <w:r w:rsidR="00615311">
        <w:t xml:space="preserve"> allegedly affected by the activities of the Mine</w:t>
      </w:r>
      <w:r>
        <w:t>. Their actions, pleaded in common law negligence and breach of statutory duty, were for personal injury, property damage and loss of income, amenity and enjoyment of land. The Defendants were: the immediate owner of the Mine, the Second Defendant (“</w:t>
      </w:r>
      <w:r w:rsidRPr="003A2B04">
        <w:rPr>
          <w:i/>
        </w:rPr>
        <w:t>D2</w:t>
      </w:r>
      <w:r>
        <w:t>”), a public company incorporated and, therefore, domiciled in Zambia; and, the First Defendant (“</w:t>
      </w:r>
      <w:r w:rsidRPr="003A2B04">
        <w:rPr>
          <w:i/>
        </w:rPr>
        <w:t>D1</w:t>
      </w:r>
      <w:r>
        <w:t xml:space="preserve">”), a parent company, incorporated/domiciled in England (with multinational interests), with ultimate control of D2 (although the Zambian Government had a significant minority stake in D2).  </w:t>
      </w:r>
    </w:p>
    <w:p w:rsidR="009D0ADD" w:rsidRDefault="009D0ADD" w:rsidP="009D0ADD">
      <w:pPr>
        <w:jc w:val="both"/>
      </w:pPr>
    </w:p>
    <w:p w:rsidR="009D0ADD" w:rsidRDefault="00122DAC" w:rsidP="009D0ADD">
      <w:pPr>
        <w:jc w:val="both"/>
      </w:pPr>
      <w:r>
        <w:t xml:space="preserve">The Claimants served proceedings on D1 in England and then obtained permission to serve D2 out of the jurisdiction. The response to service was a Part 11 jurisdictional challenge by D1 and D2 (on a number of grounds and seeking remedy by means of declaratory relief, among other things). The jurisdictional challenge was dismissed by Coulson J at first instance and then by the Court of Appeal. </w:t>
      </w:r>
    </w:p>
    <w:p w:rsidR="009D0ADD" w:rsidRDefault="009D0ADD" w:rsidP="009D0ADD">
      <w:pPr>
        <w:jc w:val="both"/>
      </w:pPr>
    </w:p>
    <w:p w:rsidR="00615311" w:rsidRDefault="00615311" w:rsidP="009D0ADD">
      <w:pPr>
        <w:jc w:val="both"/>
      </w:pPr>
    </w:p>
    <w:p w:rsidR="00122DAC" w:rsidRDefault="00122DAC" w:rsidP="009D0ADD">
      <w:pPr>
        <w:jc w:val="both"/>
      </w:pPr>
      <w:r>
        <w:t>Permission to appeal was granted by the Supreme Court.</w:t>
      </w:r>
    </w:p>
    <w:p w:rsidR="009D0ADD" w:rsidRDefault="009D0ADD" w:rsidP="009D0ADD">
      <w:pPr>
        <w:jc w:val="both"/>
      </w:pPr>
    </w:p>
    <w:p w:rsidR="00122DAC" w:rsidRDefault="00122DAC" w:rsidP="009D0ADD">
      <w:pPr>
        <w:jc w:val="both"/>
      </w:pPr>
      <w:r>
        <w:t xml:space="preserve">At first sight, this claim appeared to have only the most tenuous, if any, real connection with England. D1’s principal gripe – pursued under a variety of headings – was that its involvement was a procedural device (more bluntly, an abuse of process) designed to bring a Zambian dispute (in reality, pursued against D2) before an unsuitable and inappropriate Court (in England). The basis on which the jurisdiction of the English Court was asserted by the Claimants is helpfully </w:t>
      </w:r>
      <w:proofErr w:type="spellStart"/>
      <w:r>
        <w:t>summarised</w:t>
      </w:r>
      <w:proofErr w:type="spellEnd"/>
      <w:r>
        <w:t xml:space="preserve"> in the judgment of Lord Briggs (at para 4), “</w:t>
      </w:r>
      <w:r w:rsidRPr="00732E18">
        <w:rPr>
          <w:i/>
        </w:rPr>
        <w:t xml:space="preserve">As against … </w:t>
      </w:r>
      <w:r w:rsidRPr="00732E18">
        <w:t>[D1],</w:t>
      </w:r>
      <w:r w:rsidRPr="00732E18">
        <w:rPr>
          <w:i/>
        </w:rPr>
        <w:t xml:space="preserve"> the Claimants rely upon article 4 of the Recast Brussels Regulation (Regulation (EU) 1215/2012 </w:t>
      </w:r>
      <w:proofErr w:type="gramStart"/>
      <w:r w:rsidRPr="00732E18">
        <w:rPr>
          <w:i/>
        </w:rPr>
        <w:t>… .</w:t>
      </w:r>
      <w:proofErr w:type="gramEnd"/>
      <w:r w:rsidRPr="00732E18">
        <w:rPr>
          <w:i/>
        </w:rPr>
        <w:t xml:space="preserve"> As against … </w:t>
      </w:r>
      <w:r w:rsidRPr="00732E18">
        <w:t>[D2]</w:t>
      </w:r>
      <w:r w:rsidRPr="00732E18">
        <w:rPr>
          <w:i/>
        </w:rPr>
        <w:t xml:space="preserve"> the Claimants rely upon what may loosely be called the ‘necessary or proper party’ gateway of the English procedural code for permitting service of proceedings out of the jurisdiction, now to be found mainly in para 3.1 of CPR Practice Direction 6B.</w:t>
      </w:r>
      <w:r>
        <w:t>” In essence, the Claimants sought to stitch an EU law ground of jurisdiction pursued against an English “</w:t>
      </w:r>
      <w:r w:rsidRPr="00732E18">
        <w:rPr>
          <w:i/>
        </w:rPr>
        <w:t>anchor</w:t>
      </w:r>
      <w:r>
        <w:t xml:space="preserve">” Defendant (D1) (and not amenable to any </w:t>
      </w:r>
      <w:r w:rsidRPr="00732E18">
        <w:rPr>
          <w:i/>
        </w:rPr>
        <w:t xml:space="preserve">forum </w:t>
      </w:r>
      <w:proofErr w:type="spellStart"/>
      <w:r w:rsidRPr="00732E18">
        <w:rPr>
          <w:i/>
        </w:rPr>
        <w:t>conveniens</w:t>
      </w:r>
      <w:proofErr w:type="spellEnd"/>
      <w:r>
        <w:t xml:space="preserve"> argument: see, </w:t>
      </w:r>
      <w:proofErr w:type="spellStart"/>
      <w:r w:rsidRPr="00732E18">
        <w:rPr>
          <w:b/>
          <w:i/>
        </w:rPr>
        <w:t>Owusu</w:t>
      </w:r>
      <w:proofErr w:type="spellEnd"/>
      <w:r w:rsidRPr="00732E18">
        <w:rPr>
          <w:b/>
          <w:i/>
        </w:rPr>
        <w:t xml:space="preserve"> v Jackson </w:t>
      </w:r>
      <w:r>
        <w:t>Case C-281 [2005] QB 801) to the non-EU ground of jurisdiction provided by CPR Part 6. The obvious purpose of this was to bring D2 before the English Court.</w:t>
      </w:r>
    </w:p>
    <w:p w:rsidR="009D0ADD" w:rsidRDefault="009D0ADD" w:rsidP="009D0ADD">
      <w:pPr>
        <w:jc w:val="both"/>
      </w:pPr>
    </w:p>
    <w:p w:rsidR="00122DAC" w:rsidRDefault="00122DAC" w:rsidP="009D0ADD">
      <w:pPr>
        <w:jc w:val="both"/>
      </w:pPr>
      <w:r>
        <w:t>On appeal, the Defendants argued as follows:</w:t>
      </w:r>
    </w:p>
    <w:p w:rsidR="00122DAC" w:rsidRDefault="00122DAC" w:rsidP="009D0ADD">
      <w:pPr>
        <w:pStyle w:val="ListParagraph"/>
        <w:numPr>
          <w:ilvl w:val="0"/>
          <w:numId w:val="23"/>
        </w:numPr>
        <w:jc w:val="both"/>
        <w:rPr>
          <w:rFonts w:ascii="Times New Roman" w:hAnsi="Times New Roman"/>
          <w:sz w:val="24"/>
          <w:szCs w:val="24"/>
        </w:rPr>
      </w:pPr>
      <w:r>
        <w:rPr>
          <w:rFonts w:ascii="Times New Roman" w:hAnsi="Times New Roman"/>
          <w:sz w:val="24"/>
          <w:szCs w:val="24"/>
        </w:rPr>
        <w:t xml:space="preserve">There was no Triable issue against D1 (D1 was simply an indirect owner of the Mine and did not control or operate the same to the extent necessary to give rise to any common law duty of care or to any action for </w:t>
      </w:r>
      <w:r w:rsidR="00615311">
        <w:rPr>
          <w:rFonts w:ascii="Times New Roman" w:hAnsi="Times New Roman"/>
          <w:sz w:val="24"/>
          <w:szCs w:val="24"/>
        </w:rPr>
        <w:t>breach of Zambian statutory duties</w:t>
      </w:r>
      <w:r>
        <w:rPr>
          <w:rFonts w:ascii="Times New Roman" w:hAnsi="Times New Roman"/>
          <w:sz w:val="24"/>
          <w:szCs w:val="24"/>
        </w:rPr>
        <w:t xml:space="preserve">); </w:t>
      </w:r>
    </w:p>
    <w:p w:rsidR="00122DAC" w:rsidRDefault="00122DAC" w:rsidP="009D0ADD">
      <w:pPr>
        <w:pStyle w:val="ListParagraph"/>
        <w:numPr>
          <w:ilvl w:val="0"/>
          <w:numId w:val="23"/>
        </w:numPr>
        <w:jc w:val="both"/>
        <w:rPr>
          <w:rFonts w:ascii="Times New Roman" w:hAnsi="Times New Roman"/>
          <w:sz w:val="24"/>
          <w:szCs w:val="24"/>
        </w:rPr>
      </w:pPr>
      <w:r>
        <w:rPr>
          <w:rFonts w:ascii="Times New Roman" w:hAnsi="Times New Roman"/>
          <w:sz w:val="24"/>
          <w:szCs w:val="24"/>
        </w:rPr>
        <w:t xml:space="preserve">In the circumstances, D1 was sued only as a device to bring D2 before the English Court and, notwithstanding Article 4 of the recast Brussels I </w:t>
      </w:r>
      <w:r>
        <w:rPr>
          <w:rFonts w:ascii="Times New Roman" w:hAnsi="Times New Roman"/>
          <w:sz w:val="24"/>
          <w:szCs w:val="24"/>
        </w:rPr>
        <w:lastRenderedPageBreak/>
        <w:t xml:space="preserve">Regulation and </w:t>
      </w:r>
      <w:proofErr w:type="spellStart"/>
      <w:r w:rsidRPr="00732E18">
        <w:rPr>
          <w:rFonts w:ascii="Times New Roman" w:hAnsi="Times New Roman"/>
          <w:b/>
          <w:i/>
          <w:sz w:val="24"/>
          <w:szCs w:val="24"/>
        </w:rPr>
        <w:t>Owusu</w:t>
      </w:r>
      <w:proofErr w:type="spellEnd"/>
      <w:r w:rsidRPr="00732E18">
        <w:rPr>
          <w:rFonts w:ascii="Times New Roman" w:hAnsi="Times New Roman"/>
          <w:b/>
          <w:i/>
          <w:sz w:val="24"/>
          <w:szCs w:val="24"/>
        </w:rPr>
        <w:t xml:space="preserve"> v Jackson</w:t>
      </w:r>
      <w:r>
        <w:rPr>
          <w:rFonts w:ascii="Times New Roman" w:hAnsi="Times New Roman"/>
          <w:sz w:val="24"/>
          <w:szCs w:val="24"/>
        </w:rPr>
        <w:t>, this was an abuse of EU law;</w:t>
      </w:r>
    </w:p>
    <w:p w:rsidR="00122DAC" w:rsidRDefault="00122DAC" w:rsidP="009D0ADD">
      <w:pPr>
        <w:pStyle w:val="ListParagraph"/>
        <w:numPr>
          <w:ilvl w:val="0"/>
          <w:numId w:val="23"/>
        </w:numPr>
        <w:jc w:val="both"/>
        <w:rPr>
          <w:rFonts w:ascii="Times New Roman" w:hAnsi="Times New Roman"/>
          <w:sz w:val="24"/>
          <w:szCs w:val="24"/>
        </w:rPr>
      </w:pPr>
      <w:r>
        <w:rPr>
          <w:rFonts w:ascii="Times New Roman" w:hAnsi="Times New Roman"/>
          <w:sz w:val="24"/>
          <w:szCs w:val="24"/>
        </w:rPr>
        <w:t>In any event, England was not the proper place in which to litigate the claims and there was no “</w:t>
      </w:r>
      <w:r w:rsidRPr="00CD5AA7">
        <w:rPr>
          <w:rFonts w:ascii="Times New Roman" w:hAnsi="Times New Roman"/>
          <w:i/>
          <w:sz w:val="24"/>
          <w:szCs w:val="24"/>
        </w:rPr>
        <w:t xml:space="preserve">cogent evidence that there was a real risk that substantial justice will not be obtained in … </w:t>
      </w:r>
      <w:r w:rsidRPr="00CD5AA7">
        <w:rPr>
          <w:rFonts w:ascii="Times New Roman" w:hAnsi="Times New Roman"/>
          <w:sz w:val="24"/>
          <w:szCs w:val="24"/>
        </w:rPr>
        <w:t>[the]</w:t>
      </w:r>
      <w:r w:rsidRPr="00CD5AA7">
        <w:rPr>
          <w:rFonts w:ascii="Times New Roman" w:hAnsi="Times New Roman"/>
          <w:i/>
          <w:sz w:val="24"/>
          <w:szCs w:val="24"/>
        </w:rPr>
        <w:t xml:space="preserve"> foreign jurisdiction</w:t>
      </w:r>
      <w:r>
        <w:rPr>
          <w:rFonts w:ascii="Times New Roman" w:hAnsi="Times New Roman"/>
          <w:sz w:val="24"/>
          <w:szCs w:val="24"/>
        </w:rPr>
        <w:t>.” (</w:t>
      </w:r>
      <w:proofErr w:type="gramStart"/>
      <w:r w:rsidRPr="00CD5AA7">
        <w:rPr>
          <w:rFonts w:ascii="Times New Roman" w:hAnsi="Times New Roman"/>
          <w:i/>
          <w:sz w:val="24"/>
          <w:szCs w:val="24"/>
        </w:rPr>
        <w:t>per</w:t>
      </w:r>
      <w:proofErr w:type="gramEnd"/>
      <w:r>
        <w:rPr>
          <w:rFonts w:ascii="Times New Roman" w:hAnsi="Times New Roman"/>
          <w:sz w:val="24"/>
          <w:szCs w:val="24"/>
        </w:rPr>
        <w:t xml:space="preserve"> Lord Briggs at para</w:t>
      </w:r>
      <w:r w:rsidRPr="00A0421F">
        <w:rPr>
          <w:rFonts w:ascii="Times New Roman" w:hAnsi="Times New Roman"/>
          <w:sz w:val="24"/>
          <w:szCs w:val="24"/>
        </w:rPr>
        <w:t xml:space="preserve"> </w:t>
      </w:r>
      <w:r>
        <w:rPr>
          <w:rFonts w:ascii="Times New Roman" w:hAnsi="Times New Roman"/>
          <w:sz w:val="24"/>
          <w:szCs w:val="24"/>
        </w:rPr>
        <w:t>88).</w:t>
      </w:r>
    </w:p>
    <w:p w:rsidR="00122DAC" w:rsidRDefault="00122DAC" w:rsidP="009D0ADD">
      <w:pPr>
        <w:jc w:val="both"/>
      </w:pPr>
      <w:r>
        <w:t>Lord Briggs’ judgment dealt first with the Defendants’ arguments as to abuse of EU law. It was argued that Article 4 of recast Brussels I was designed to protect Defendants domiciled within an EU Member State (providing them with the right – subject to narrowly drawn exceptions – to be sued within their own Courts of domicile). It followed that the deployment of Article 4 to drag D1 before the English Court only as an anchor to establish jurisdiction against D2 (the real target of the Claimants’ action) was an abuse of EU law. The Supreme Court, following the judgment of Coulson J at first instance, dismissed this element of the Defendants’ appeal (at paras 28 – 29 of Lord Briggs’ judgment), “</w:t>
      </w:r>
      <w:r w:rsidRPr="00390065">
        <w:rPr>
          <w:i/>
        </w:rPr>
        <w:t xml:space="preserve">a) the Claimants have pleaded a real triable issue against … </w:t>
      </w:r>
      <w:r w:rsidRPr="00390065">
        <w:t>[D1];</w:t>
      </w:r>
      <w:r w:rsidRPr="00390065">
        <w:rPr>
          <w:i/>
        </w:rPr>
        <w:t xml:space="preserve"> b) the Claimants genuinely desire to obtain judgment for damages against … </w:t>
      </w:r>
      <w:r w:rsidRPr="00390065">
        <w:t>[D1];</w:t>
      </w:r>
      <w:r w:rsidRPr="00390065">
        <w:rPr>
          <w:i/>
        </w:rPr>
        <w:t xml:space="preserve"> c) one of the principal reasons (although not the sole reason) why the Claimants sued … </w:t>
      </w:r>
      <w:r w:rsidRPr="00390065">
        <w:t>[D1]</w:t>
      </w:r>
      <w:r w:rsidRPr="00390065">
        <w:rPr>
          <w:i/>
        </w:rPr>
        <w:t xml:space="preserve">  in England was so as to be able by the use of article 4 and the necessary or proper party gateway in conjunction, to sue … </w:t>
      </w:r>
      <w:r w:rsidRPr="00390065">
        <w:t>[D2]</w:t>
      </w:r>
      <w:r w:rsidRPr="00390065">
        <w:rPr>
          <w:i/>
        </w:rPr>
        <w:t xml:space="preserve"> in England as well. On that factual basis </w:t>
      </w:r>
      <w:r w:rsidRPr="009E6094">
        <w:t>[as found by Coulson J at first instance],</w:t>
      </w:r>
      <w:r w:rsidRPr="00390065">
        <w:rPr>
          <w:i/>
        </w:rPr>
        <w:t xml:space="preserve"> I am satisfied to th</w:t>
      </w:r>
      <w:r>
        <w:rPr>
          <w:i/>
        </w:rPr>
        <w:t xml:space="preserve">e extent that the point is act </w:t>
      </w:r>
      <w:proofErr w:type="spellStart"/>
      <w:proofErr w:type="gramStart"/>
      <w:r w:rsidRPr="00390065">
        <w:rPr>
          <w:i/>
        </w:rPr>
        <w:t>clair</w:t>
      </w:r>
      <w:proofErr w:type="spellEnd"/>
      <w:proofErr w:type="gramEnd"/>
      <w:r w:rsidRPr="00390065">
        <w:rPr>
          <w:i/>
        </w:rPr>
        <w:t xml:space="preserve">, that the EU principle of abuse of law does not avail the appellants. The starting point is the need to </w:t>
      </w:r>
      <w:proofErr w:type="spellStart"/>
      <w:r w:rsidRPr="00390065">
        <w:rPr>
          <w:i/>
        </w:rPr>
        <w:t>recognise</w:t>
      </w:r>
      <w:proofErr w:type="spellEnd"/>
      <w:r w:rsidRPr="00390065">
        <w:rPr>
          <w:i/>
        </w:rPr>
        <w:t xml:space="preserve"> that, following </w:t>
      </w:r>
      <w:proofErr w:type="spellStart"/>
      <w:r w:rsidRPr="00390065">
        <w:rPr>
          <w:i/>
        </w:rPr>
        <w:t>Owusu</w:t>
      </w:r>
      <w:proofErr w:type="spellEnd"/>
      <w:r w:rsidRPr="00390065">
        <w:rPr>
          <w:i/>
        </w:rPr>
        <w:t xml:space="preserve"> v Jackson, … article 4.1 lays down the primary rule regulating the jurisdiction of each member state to entertain claims against persons domiciled in that state. The Recast Brussels Regulation itself … contains a number of express provisions which derogate from that primary rule. As exceptions to it, they are all to be narrowly construed. If, therefore, the Recast Brussels Regulation also contains (as it </w:t>
      </w:r>
      <w:r w:rsidRPr="00390065">
        <w:rPr>
          <w:i/>
        </w:rPr>
        <w:lastRenderedPageBreak/>
        <w:t>probably does) an implied exception from the otherwise automatic and mandatory effect of article 4, based upon abuse of EU law, then that is also an exception which is to be narrowly construed.</w:t>
      </w:r>
      <w:r>
        <w:t xml:space="preserve">” Referring to CJEU case law (among these, </w:t>
      </w:r>
      <w:r w:rsidRPr="00390065">
        <w:rPr>
          <w:b/>
          <w:i/>
        </w:rPr>
        <w:t xml:space="preserve">Freeport plc v </w:t>
      </w:r>
      <w:proofErr w:type="spellStart"/>
      <w:r w:rsidRPr="00390065">
        <w:rPr>
          <w:b/>
          <w:i/>
        </w:rPr>
        <w:t>Arnoldsson</w:t>
      </w:r>
      <w:proofErr w:type="spellEnd"/>
      <w:r>
        <w:t xml:space="preserve"> Case C-98/06 [2008] QB 634), Lord Briggs was not prepared to adopt a sufficiently wide approach to the concept of abuse (in this context) to avail the Defendants. Instead, he directed the Court that CJEU jurisprudence as to Article 8 of Recast Brussels I made it clear that it was only where a claim was pursued against an anchor Defendant with the </w:t>
      </w:r>
      <w:r w:rsidRPr="00CE3A8F">
        <w:rPr>
          <w:u w:val="single"/>
        </w:rPr>
        <w:t>sole purpose</w:t>
      </w:r>
      <w:r>
        <w:t xml:space="preserve"> of dragging a Defendant domiciled elsewhere before the (English) Court (and thus depriving it of the right to be sued in its home Courts) that an abuse would have taken place. Lord Briggs went further (at para 36), “</w:t>
      </w:r>
      <w:r w:rsidRPr="00CE3A8F">
        <w:rPr>
          <w:i/>
        </w:rPr>
        <w:t xml:space="preserve">Such jurisprudence as there is about abuse of EU law in relation to jurisdiction suggests that the abuse of law doctrine is limited to the collusive invocation of one EU principle so as improperly to subvert another. In the present case the position is quite different. The complaint is that article 4 is being used as a means of circumventing or misusing the English national regime for the identification of its international jurisdiction over persons not domiciled in any member state: </w:t>
      </w:r>
      <w:proofErr w:type="spellStart"/>
      <w:r w:rsidRPr="00CE3A8F">
        <w:rPr>
          <w:i/>
        </w:rPr>
        <w:t>ie</w:t>
      </w:r>
      <w:proofErr w:type="spellEnd"/>
      <w:r w:rsidRPr="00CE3A8F">
        <w:rPr>
          <w:i/>
        </w:rPr>
        <w:t xml:space="preserve">. </w:t>
      </w:r>
      <w:proofErr w:type="gramStart"/>
      <w:r w:rsidRPr="00CE3A8F">
        <w:rPr>
          <w:i/>
        </w:rPr>
        <w:t>the</w:t>
      </w:r>
      <w:proofErr w:type="gramEnd"/>
      <w:r w:rsidRPr="00CE3A8F">
        <w:rPr>
          <w:i/>
        </w:rPr>
        <w:t xml:space="preserve"> forum </w:t>
      </w:r>
      <w:proofErr w:type="spellStart"/>
      <w:r w:rsidRPr="00CE3A8F">
        <w:rPr>
          <w:i/>
        </w:rPr>
        <w:t>conveniens</w:t>
      </w:r>
      <w:proofErr w:type="spellEnd"/>
      <w:r w:rsidRPr="00CE3A8F">
        <w:rPr>
          <w:i/>
        </w:rPr>
        <w:t xml:space="preserve"> jurisprudence and, specifically, the necessary or proper party gateway</w:t>
      </w:r>
      <w:r>
        <w:t xml:space="preserve">.” Applying </w:t>
      </w:r>
      <w:proofErr w:type="spellStart"/>
      <w:r w:rsidRPr="00CE3A8F">
        <w:rPr>
          <w:b/>
          <w:i/>
        </w:rPr>
        <w:t>Owusu</w:t>
      </w:r>
      <w:proofErr w:type="spellEnd"/>
      <w:r w:rsidRPr="00CE3A8F">
        <w:rPr>
          <w:b/>
          <w:i/>
        </w:rPr>
        <w:t xml:space="preserve"> v Jackson</w:t>
      </w:r>
      <w:r>
        <w:t>, the Supreme Court also dismissed this element of the Defendants’ appeal. Lord Briggs identified what I will term a “</w:t>
      </w:r>
      <w:r w:rsidRPr="003910D6">
        <w:rPr>
          <w:i/>
        </w:rPr>
        <w:t>double lock</w:t>
      </w:r>
      <w:r>
        <w:t>” faced by anchor Defendants (at para 40): “</w:t>
      </w:r>
      <w:r w:rsidRPr="003910D6">
        <w:rPr>
          <w:i/>
        </w:rPr>
        <w:t xml:space="preserve">Two consequences flow from that analysis. The first is that … the fact that article 4 fetters and paralyses the English forum </w:t>
      </w:r>
      <w:proofErr w:type="spellStart"/>
      <w:r w:rsidRPr="003910D6">
        <w:rPr>
          <w:i/>
        </w:rPr>
        <w:t>conveniens</w:t>
      </w:r>
      <w:proofErr w:type="spellEnd"/>
      <w:r w:rsidRPr="003910D6">
        <w:rPr>
          <w:i/>
        </w:rPr>
        <w:t xml:space="preserve"> jurisprudence in this way in a necessary or proper party case cannot itself be said to be an abuse of EU law, in a context where those difficulties were expressly </w:t>
      </w:r>
      <w:proofErr w:type="spellStart"/>
      <w:r w:rsidRPr="003910D6">
        <w:rPr>
          <w:i/>
        </w:rPr>
        <w:t>recognised</w:t>
      </w:r>
      <w:proofErr w:type="spellEnd"/>
      <w:r w:rsidRPr="003910D6">
        <w:rPr>
          <w:i/>
        </w:rPr>
        <w:t xml:space="preserve"> by the Court of Justice when providing that forum </w:t>
      </w:r>
      <w:proofErr w:type="spellStart"/>
      <w:r w:rsidRPr="003910D6">
        <w:rPr>
          <w:i/>
        </w:rPr>
        <w:t>conveniens</w:t>
      </w:r>
      <w:proofErr w:type="spellEnd"/>
      <w:r w:rsidRPr="003910D6">
        <w:rPr>
          <w:i/>
        </w:rPr>
        <w:t xml:space="preserve"> arguments could not be used by way of derogation from what is now article 4. The second is that to allow those very real concerns to serve as the basis for an assertion of abuse of EU law would be to erect a forum </w:t>
      </w:r>
      <w:proofErr w:type="spellStart"/>
      <w:r w:rsidRPr="003910D6">
        <w:rPr>
          <w:i/>
        </w:rPr>
        <w:t>conveniens</w:t>
      </w:r>
      <w:proofErr w:type="spellEnd"/>
      <w:r w:rsidRPr="003910D6">
        <w:rPr>
          <w:i/>
        </w:rPr>
        <w:t xml:space="preserve"> argument </w:t>
      </w:r>
      <w:r w:rsidRPr="003910D6">
        <w:rPr>
          <w:i/>
        </w:rPr>
        <w:lastRenderedPageBreak/>
        <w:t xml:space="preserve">as the basis for a derogation from article 4, which is the very thing that the Court of Justice held in </w:t>
      </w:r>
      <w:proofErr w:type="spellStart"/>
      <w:r w:rsidRPr="003910D6">
        <w:rPr>
          <w:i/>
        </w:rPr>
        <w:t>Owusu</w:t>
      </w:r>
      <w:proofErr w:type="spellEnd"/>
      <w:r w:rsidRPr="003910D6">
        <w:rPr>
          <w:i/>
        </w:rPr>
        <w:t xml:space="preserve"> v Jackson to be impermissible</w:t>
      </w:r>
      <w:r>
        <w:t xml:space="preserve">.” Lord Briggs floated the idea that an adjustment of the domestic jurisprudence on </w:t>
      </w:r>
      <w:r w:rsidRPr="003910D6">
        <w:rPr>
          <w:i/>
        </w:rPr>
        <w:t xml:space="preserve">forum </w:t>
      </w:r>
      <w:proofErr w:type="spellStart"/>
      <w:r w:rsidRPr="003910D6">
        <w:rPr>
          <w:i/>
        </w:rPr>
        <w:t>conveniens</w:t>
      </w:r>
      <w:proofErr w:type="spellEnd"/>
      <w:r>
        <w:t xml:space="preserve"> such as to “</w:t>
      </w:r>
      <w:r w:rsidRPr="003910D6">
        <w:rPr>
          <w:i/>
        </w:rPr>
        <w:t xml:space="preserve">temper the </w:t>
      </w:r>
      <w:proofErr w:type="spellStart"/>
      <w:r w:rsidRPr="003910D6">
        <w:rPr>
          <w:i/>
        </w:rPr>
        <w:t>rigour</w:t>
      </w:r>
      <w:proofErr w:type="spellEnd"/>
      <w:r w:rsidRPr="003910D6">
        <w:rPr>
          <w:i/>
        </w:rPr>
        <w:t xml:space="preserve"> of the need to avoid irreconcilable judgments</w:t>
      </w:r>
      <w:r>
        <w:t>” might be the solution to this conundrum.</w:t>
      </w:r>
    </w:p>
    <w:p w:rsidR="009D0ADD" w:rsidRDefault="009D0ADD" w:rsidP="009D0ADD">
      <w:pPr>
        <w:jc w:val="both"/>
      </w:pPr>
    </w:p>
    <w:p w:rsidR="00122DAC" w:rsidRDefault="00122DAC" w:rsidP="009D0ADD">
      <w:pPr>
        <w:jc w:val="both"/>
      </w:pPr>
      <w:r>
        <w:t xml:space="preserve">The central </w:t>
      </w:r>
      <w:r w:rsidR="00615311">
        <w:t xml:space="preserve">passages </w:t>
      </w:r>
      <w:r>
        <w:t xml:space="preserve">of Lord Briggs’ judgment considered whether there was a real issue to be tried against D1 and whether </w:t>
      </w:r>
      <w:proofErr w:type="spellStart"/>
      <w:r>
        <w:t>the</w:t>
      </w:r>
      <w:proofErr w:type="spellEnd"/>
      <w:r w:rsidR="00615311">
        <w:t xml:space="preserve"> Claimants</w:t>
      </w:r>
      <w:r>
        <w:t xml:space="preserve"> had an arguable case in breach of statutory duty against D1. In this context the Court considered jurisprudence on the extent to which a parent company might (by an assumption of responsibility) bear a duty of care with respect to the operations of a subsidiary. The Court rejected the Defendants’ contention that, “… </w:t>
      </w:r>
      <w:r w:rsidRPr="00AA6A48">
        <w:rPr>
          <w:i/>
        </w:rPr>
        <w:t xml:space="preserve">a conclusion that … </w:t>
      </w:r>
      <w:r w:rsidRPr="00615311">
        <w:t>[D1]</w:t>
      </w:r>
      <w:r w:rsidRPr="00AA6A48">
        <w:rPr>
          <w:i/>
        </w:rPr>
        <w:t xml:space="preserve"> had incurred a duty of care to the Claimants would involve a novel and controversial extension of the boundaries of the tort of negligence, beyond any established category, calling for a cautious incremental approach by analogy with existing categories … </w:t>
      </w:r>
      <w:r w:rsidRPr="00AA6A48">
        <w:t>[a task which, it was argued]</w:t>
      </w:r>
      <w:r w:rsidRPr="00AA6A48">
        <w:rPr>
          <w:i/>
        </w:rPr>
        <w:t xml:space="preserve"> neither the Judge nor the Court of Appeal carried out.</w:t>
      </w:r>
      <w:r>
        <w:t>” The Supreme Court did not agree.</w:t>
      </w:r>
    </w:p>
    <w:p w:rsidR="00615311" w:rsidRDefault="00615311" w:rsidP="009D0ADD">
      <w:pPr>
        <w:jc w:val="both"/>
      </w:pPr>
    </w:p>
    <w:p w:rsidR="0014121E" w:rsidRDefault="00122DAC" w:rsidP="009D0ADD">
      <w:pPr>
        <w:jc w:val="both"/>
      </w:pPr>
      <w:r>
        <w:t xml:space="preserve">Having disposed of these matters, the Court turned to </w:t>
      </w:r>
      <w:r w:rsidRPr="00FA6AA5">
        <w:rPr>
          <w:i/>
        </w:rPr>
        <w:t xml:space="preserve">forum </w:t>
      </w:r>
      <w:proofErr w:type="spellStart"/>
      <w:r w:rsidRPr="00FA6AA5">
        <w:rPr>
          <w:i/>
        </w:rPr>
        <w:t>conveniens</w:t>
      </w:r>
      <w:proofErr w:type="spellEnd"/>
      <w:r>
        <w:t xml:space="preserve"> considerations with respect to the non-anchor, non-EU Defendant: D2. Lord Briggs confessed to finding this, “</w:t>
      </w:r>
      <w:r w:rsidRPr="00FA6AA5">
        <w:rPr>
          <w:i/>
        </w:rPr>
        <w:t>the most difficult issue in this appeal</w:t>
      </w:r>
      <w:r>
        <w:t xml:space="preserve">” (para 66). The conundrum might be </w:t>
      </w:r>
      <w:proofErr w:type="spellStart"/>
      <w:r>
        <w:t>summarised</w:t>
      </w:r>
      <w:proofErr w:type="spellEnd"/>
      <w:r>
        <w:t xml:space="preserve"> as follows. First, the fetter placed by </w:t>
      </w:r>
      <w:proofErr w:type="spellStart"/>
      <w:r w:rsidRPr="00FA6AA5">
        <w:rPr>
          <w:b/>
          <w:i/>
        </w:rPr>
        <w:t>Owusu</w:t>
      </w:r>
      <w:proofErr w:type="spellEnd"/>
      <w:r w:rsidRPr="00FA6AA5">
        <w:rPr>
          <w:b/>
          <w:i/>
        </w:rPr>
        <w:t xml:space="preserve"> v Jackson</w:t>
      </w:r>
      <w:r>
        <w:t xml:space="preserve"> on the Court’s </w:t>
      </w:r>
      <w:r w:rsidRPr="00FA6AA5">
        <w:rPr>
          <w:i/>
        </w:rPr>
        <w:t xml:space="preserve">forum </w:t>
      </w:r>
      <w:proofErr w:type="spellStart"/>
      <w:r w:rsidRPr="00FA6AA5">
        <w:rPr>
          <w:i/>
        </w:rPr>
        <w:t>conveniens</w:t>
      </w:r>
      <w:proofErr w:type="spellEnd"/>
      <w:r>
        <w:t xml:space="preserve"> discretion meant that the claim </w:t>
      </w:r>
      <w:proofErr w:type="gramStart"/>
      <w:r>
        <w:t>proceeded</w:t>
      </w:r>
      <w:proofErr w:type="gramEnd"/>
      <w:r>
        <w:t xml:space="preserve"> in England against D1, the anchor Defendant, by reason of Article 4 of recast Brussels I. This then meant that if the English Court then deployed </w:t>
      </w:r>
      <w:r w:rsidRPr="00FA6AA5">
        <w:rPr>
          <w:i/>
        </w:rPr>
        <w:t xml:space="preserve">forum </w:t>
      </w:r>
      <w:proofErr w:type="spellStart"/>
      <w:r w:rsidRPr="00FA6AA5">
        <w:rPr>
          <w:i/>
        </w:rPr>
        <w:t>conveniens</w:t>
      </w:r>
      <w:proofErr w:type="spellEnd"/>
      <w:r>
        <w:t xml:space="preserve"> considerations in order to refuse jurisdiction over D2 (the non-EU Defendant) then a risk of irreconcilable judgments (with parallel proceedings in two jurisdictions) might arise. As Lord Briggs observed (para 70 citing </w:t>
      </w:r>
      <w:r w:rsidRPr="00C3638D">
        <w:rPr>
          <w:b/>
          <w:i/>
        </w:rPr>
        <w:t>OJSC VTB Bank</w:t>
      </w:r>
      <w:r>
        <w:t xml:space="preserve"> [2013] EWHC 3538 (</w:t>
      </w:r>
      <w:proofErr w:type="spellStart"/>
      <w:r>
        <w:t>Comm</w:t>
      </w:r>
      <w:proofErr w:type="spellEnd"/>
      <w:r>
        <w:t>)), “</w:t>
      </w:r>
      <w:r w:rsidRPr="00C3638D">
        <w:rPr>
          <w:i/>
        </w:rPr>
        <w:t xml:space="preserve">In cases where the court has found that, in practice, the Claimants will in any event continue against </w:t>
      </w:r>
      <w:r w:rsidRPr="00C3638D">
        <w:rPr>
          <w:i/>
        </w:rPr>
        <w:lastRenderedPageBreak/>
        <w:t xml:space="preserve">the anchor Defendant in England, the avoidance of irreconcilable judgments has frequently been found to be decisive in </w:t>
      </w:r>
      <w:proofErr w:type="spellStart"/>
      <w:r w:rsidRPr="00C3638D">
        <w:rPr>
          <w:i/>
        </w:rPr>
        <w:t>favour</w:t>
      </w:r>
      <w:proofErr w:type="spellEnd"/>
      <w:r w:rsidRPr="00C3638D">
        <w:rPr>
          <w:i/>
        </w:rPr>
        <w:t xml:space="preserve"> of England as the proper place, even in cases </w:t>
      </w:r>
      <w:r w:rsidRPr="002D49B6">
        <w:rPr>
          <w:i/>
        </w:rPr>
        <w:t xml:space="preserve">where all the other connecting factors appeared to </w:t>
      </w:r>
      <w:proofErr w:type="spellStart"/>
      <w:r w:rsidRPr="002D49B6">
        <w:rPr>
          <w:i/>
        </w:rPr>
        <w:t>favour</w:t>
      </w:r>
      <w:proofErr w:type="spellEnd"/>
      <w:r w:rsidRPr="002D49B6">
        <w:rPr>
          <w:i/>
        </w:rPr>
        <w:t xml:space="preserve"> a foreign jurisdiction.</w:t>
      </w:r>
      <w:r w:rsidRPr="002D49B6">
        <w:t xml:space="preserve">” Lord Briggs noted that, by the time of the first instance hearing before Coulson J, D1 had offered to submit to the jurisdiction of the Zambian Court so that the entire case could be tried in that jurisdiction (a stance which bore some resemblance to the approach taken by the Defendant in </w:t>
      </w:r>
      <w:r w:rsidRPr="002D49B6">
        <w:rPr>
          <w:b/>
          <w:bCs/>
          <w:i/>
          <w:iCs/>
        </w:rPr>
        <w:t>KXL v Nicholas Murphy</w:t>
      </w:r>
      <w:r w:rsidRPr="002D49B6">
        <w:t xml:space="preserve"> [2016] EWHC 2702 (QB)</w:t>
      </w:r>
      <w:r>
        <w:t xml:space="preserve"> where </w:t>
      </w:r>
      <w:proofErr w:type="spellStart"/>
      <w:r w:rsidRPr="002D49B6">
        <w:rPr>
          <w:b/>
          <w:i/>
        </w:rPr>
        <w:t>Owusu</w:t>
      </w:r>
      <w:proofErr w:type="spellEnd"/>
      <w:r w:rsidRPr="002D49B6">
        <w:rPr>
          <w:b/>
          <w:i/>
        </w:rPr>
        <w:t xml:space="preserve"> v Jackson</w:t>
      </w:r>
      <w:r>
        <w:t xml:space="preserve"> also ope</w:t>
      </w:r>
      <w:r w:rsidR="00615311">
        <w:t>r</w:t>
      </w:r>
      <w:r>
        <w:t xml:space="preserve">ated to prevent </w:t>
      </w:r>
      <w:r w:rsidR="00615311">
        <w:t>the</w:t>
      </w:r>
      <w:r>
        <w:t xml:space="preserve"> Defendant from raising a </w:t>
      </w:r>
      <w:r w:rsidRPr="002D49B6">
        <w:rPr>
          <w:i/>
        </w:rPr>
        <w:t xml:space="preserve">forum </w:t>
      </w:r>
      <w:proofErr w:type="spellStart"/>
      <w:r w:rsidRPr="002D49B6">
        <w:rPr>
          <w:i/>
        </w:rPr>
        <w:t>conveniens</w:t>
      </w:r>
      <w:proofErr w:type="spellEnd"/>
      <w:r>
        <w:t xml:space="preserve"> jurisdictional challenge)</w:t>
      </w:r>
      <w:r w:rsidRPr="002D49B6">
        <w:t xml:space="preserve">. As </w:t>
      </w:r>
      <w:r w:rsidR="0014121E">
        <w:t xml:space="preserve">Lord Briggs </w:t>
      </w:r>
      <w:r w:rsidRPr="002D49B6">
        <w:t xml:space="preserve">observed </w:t>
      </w:r>
      <w:r>
        <w:t>(para 75), “</w:t>
      </w:r>
      <w:r w:rsidRPr="00BE2CF3">
        <w:rPr>
          <w:i/>
        </w:rPr>
        <w:t xml:space="preserve">This did not … prevent the Claimants from continuing against … </w:t>
      </w:r>
      <w:r w:rsidRPr="00BE2CF3">
        <w:t>[D1]</w:t>
      </w:r>
      <w:r w:rsidRPr="00BE2CF3">
        <w:rPr>
          <w:i/>
        </w:rPr>
        <w:t xml:space="preserve"> in England, nor could it give rise to any basis for displacing Article 4 as conferring a right to do so upon the Claimants. But it does lead to this consequence, namely that the reason why the parallel pursuit of a claim in England against </w:t>
      </w:r>
      <w:proofErr w:type="gramStart"/>
      <w:r w:rsidRPr="00BE2CF3">
        <w:t>…[</w:t>
      </w:r>
      <w:proofErr w:type="gramEnd"/>
      <w:r w:rsidRPr="00BE2CF3">
        <w:t>D1]</w:t>
      </w:r>
      <w:r w:rsidRPr="00BE2CF3">
        <w:rPr>
          <w:i/>
        </w:rPr>
        <w:t xml:space="preserve"> and in Zambia against … </w:t>
      </w:r>
      <w:r w:rsidRPr="00BE2CF3">
        <w:t>[D2]</w:t>
      </w:r>
      <w:r w:rsidRPr="00BE2CF3">
        <w:rPr>
          <w:i/>
        </w:rPr>
        <w:t xml:space="preserve"> would give rise to a risk of irreconcilable judgments is because the Claimants have chosen to exercise that right to continue against … </w:t>
      </w:r>
      <w:r w:rsidRPr="00BE2CF3">
        <w:t>[D1]</w:t>
      </w:r>
      <w:r w:rsidRPr="00BE2CF3">
        <w:rPr>
          <w:i/>
        </w:rPr>
        <w:t xml:space="preserve"> in England, rather than because Zambia is not an available forum for the pursuit of the claim against both Defendants. In this case it is the Claimants rather than the Defendants who claim that the risk of irreconcilable judgments would be prejudicial to them. Why (it may be asked) should that risk be a decisive factor in the identification of the proper place, when it is a factor which the Claimants, having a choice, have brought upon themselves?</w:t>
      </w:r>
      <w:r>
        <w:t>” Lord Briggs concluded – after “</w:t>
      </w:r>
      <w:r w:rsidRPr="009A0B4C">
        <w:rPr>
          <w:i/>
        </w:rPr>
        <w:t>anxious consideration</w:t>
      </w:r>
      <w:r>
        <w:t xml:space="preserve">” – that over-emphasis on the risk of irreconcilable judgments might result in a </w:t>
      </w:r>
      <w:proofErr w:type="spellStart"/>
      <w:r>
        <w:t>paralysed</w:t>
      </w:r>
      <w:proofErr w:type="spellEnd"/>
      <w:r>
        <w:t xml:space="preserve"> jurisdiction in which </w:t>
      </w:r>
      <w:r w:rsidRPr="009A0B4C">
        <w:rPr>
          <w:i/>
        </w:rPr>
        <w:t xml:space="preserve">forum </w:t>
      </w:r>
      <w:proofErr w:type="spellStart"/>
      <w:r w:rsidRPr="009A0B4C">
        <w:rPr>
          <w:i/>
        </w:rPr>
        <w:t>conveniens</w:t>
      </w:r>
      <w:proofErr w:type="spellEnd"/>
      <w:r>
        <w:t xml:space="preserve"> had no </w:t>
      </w:r>
      <w:r w:rsidR="0014121E">
        <w:t xml:space="preserve">effective </w:t>
      </w:r>
      <w:r>
        <w:t>application against either the anchor or foreign Defendant. He said this (para 80), “</w:t>
      </w:r>
      <w:r w:rsidRPr="009A0B4C">
        <w:rPr>
          <w:i/>
        </w:rPr>
        <w:t xml:space="preserve">There is nothing in article 4 which can be interpreted as intended to confer upon Claimants a right to bring proceedings against an EU domiciliary in the Member State of its domicile in such a way that avoids incurring the risk of irreconcilable judgments. On the </w:t>
      </w:r>
      <w:r w:rsidRPr="009A0B4C">
        <w:rPr>
          <w:i/>
        </w:rPr>
        <w:lastRenderedPageBreak/>
        <w:t xml:space="preserve">contrary, article 4 is, as was </w:t>
      </w:r>
      <w:proofErr w:type="spellStart"/>
      <w:r w:rsidRPr="009A0B4C">
        <w:rPr>
          <w:i/>
        </w:rPr>
        <w:t>emphasised</w:t>
      </w:r>
      <w:proofErr w:type="spellEnd"/>
      <w:r w:rsidRPr="009A0B4C">
        <w:rPr>
          <w:i/>
        </w:rPr>
        <w:t xml:space="preserve"> in </w:t>
      </w:r>
      <w:proofErr w:type="spellStart"/>
      <w:r w:rsidRPr="009A0B4C">
        <w:rPr>
          <w:i/>
        </w:rPr>
        <w:t>Owusu</w:t>
      </w:r>
      <w:proofErr w:type="spellEnd"/>
      <w:r w:rsidRPr="009A0B4C">
        <w:rPr>
          <w:i/>
        </w:rPr>
        <w:t xml:space="preserve"> v Jackson, blind to considerations of that kind. The mitigation of that risk is available in a purely intra-EU context under Article 8.1 (where that risk is expressly </w:t>
      </w:r>
      <w:proofErr w:type="spellStart"/>
      <w:r w:rsidRPr="009A0B4C">
        <w:rPr>
          <w:i/>
        </w:rPr>
        <w:t>recognised</w:t>
      </w:r>
      <w:proofErr w:type="spellEnd"/>
      <w:r w:rsidRPr="009A0B4C">
        <w:rPr>
          <w:i/>
        </w:rPr>
        <w:t>). But it is unavailable where the related Defendant is (as here) domiciled outside any of the Member States</w:t>
      </w:r>
      <w:r>
        <w:t xml:space="preserve">.” </w:t>
      </w:r>
    </w:p>
    <w:p w:rsidR="0014121E" w:rsidRDefault="0014121E" w:rsidP="009D0ADD">
      <w:pPr>
        <w:jc w:val="both"/>
      </w:pPr>
    </w:p>
    <w:p w:rsidR="0014121E" w:rsidRDefault="00122DAC" w:rsidP="009D0ADD">
      <w:pPr>
        <w:jc w:val="both"/>
      </w:pPr>
      <w:r>
        <w:t>Lord Briggs decided that the risk of irreconcilable judgments should continue to be a relevant factor when the English Court considered the grant of permission to serve outside the jurisdiction, but it should cease to be a “</w:t>
      </w:r>
      <w:r w:rsidRPr="009A0B4C">
        <w:rPr>
          <w:i/>
        </w:rPr>
        <w:t>trump card</w:t>
      </w:r>
      <w:r>
        <w:t>” (para 84) and, insofar as Coulson J, had treated it as such that justified the Supreme Court considering afresh the connecting factors (to England and Zambia)</w:t>
      </w:r>
      <w:r w:rsidR="0014121E">
        <w:t xml:space="preserve"> relevant to </w:t>
      </w:r>
      <w:r w:rsidR="0014121E" w:rsidRPr="0014121E">
        <w:rPr>
          <w:i/>
        </w:rPr>
        <w:t xml:space="preserve">forum </w:t>
      </w:r>
      <w:proofErr w:type="spellStart"/>
      <w:r w:rsidR="0014121E" w:rsidRPr="0014121E">
        <w:rPr>
          <w:i/>
        </w:rPr>
        <w:t>conveniens</w:t>
      </w:r>
      <w:proofErr w:type="spellEnd"/>
      <w:r>
        <w:t xml:space="preserve">. Comparing the connections to England and Zambia (and, perhaps unsurprisingly) it was concluded that the Claimants had failed to demonstrate that England was the proper place for Trial of their claims. </w:t>
      </w:r>
    </w:p>
    <w:p w:rsidR="0014121E" w:rsidRDefault="0014121E" w:rsidP="009D0ADD">
      <w:pPr>
        <w:jc w:val="both"/>
      </w:pPr>
    </w:p>
    <w:p w:rsidR="00122DAC" w:rsidRDefault="00122DAC" w:rsidP="009D0ADD">
      <w:pPr>
        <w:jc w:val="both"/>
      </w:pPr>
      <w:r>
        <w:t>The Defendants’ appeal nonetheless failed. This was because the Court was “</w:t>
      </w:r>
      <w:r w:rsidRPr="00AA6A48">
        <w:rPr>
          <w:i/>
        </w:rPr>
        <w:t xml:space="preserve">satisfied, by cogent evidence, that there … </w:t>
      </w:r>
      <w:r w:rsidRPr="00AA6A48">
        <w:t>[was]</w:t>
      </w:r>
      <w:r w:rsidRPr="00AA6A48">
        <w:rPr>
          <w:i/>
        </w:rPr>
        <w:t xml:space="preserve"> a real risk that substantial justice … </w:t>
      </w:r>
      <w:r w:rsidRPr="00AA6A48">
        <w:t>[would]</w:t>
      </w:r>
      <w:r w:rsidRPr="00AA6A48">
        <w:rPr>
          <w:i/>
        </w:rPr>
        <w:t xml:space="preserve"> not be obtainable in … </w:t>
      </w:r>
      <w:r w:rsidRPr="00AA6A48">
        <w:t>[Zambia].”</w:t>
      </w:r>
      <w:r>
        <w:t xml:space="preserve"> By the narrowest of margins</w:t>
      </w:r>
      <w:r w:rsidR="0014121E">
        <w:t>, therefore</w:t>
      </w:r>
      <w:r>
        <w:t xml:space="preserve"> (given the Court’s conclusions on </w:t>
      </w:r>
      <w:r w:rsidRPr="00AA6A48">
        <w:rPr>
          <w:i/>
        </w:rPr>
        <w:t xml:space="preserve">forum </w:t>
      </w:r>
      <w:proofErr w:type="spellStart"/>
      <w:r w:rsidRPr="00AA6A48">
        <w:rPr>
          <w:i/>
        </w:rPr>
        <w:t>conveniens</w:t>
      </w:r>
      <w:proofErr w:type="spellEnd"/>
      <w:r>
        <w:t xml:space="preserve">), the appeal was dismissed.  </w:t>
      </w:r>
    </w:p>
    <w:p w:rsidR="009D0ADD" w:rsidRDefault="009D0ADD" w:rsidP="009D0ADD">
      <w:pPr>
        <w:jc w:val="both"/>
      </w:pPr>
    </w:p>
    <w:p w:rsidR="00122DAC" w:rsidRDefault="00122DAC" w:rsidP="009D0ADD">
      <w:pPr>
        <w:jc w:val="both"/>
      </w:pPr>
      <w:r>
        <w:t xml:space="preserve">It will be apparent from the complexity of the issues discussed in this case note that </w:t>
      </w:r>
      <w:r w:rsidR="0014121E">
        <w:t xml:space="preserve">the </w:t>
      </w:r>
      <w:r w:rsidR="0014121E" w:rsidRPr="0014121E">
        <w:rPr>
          <w:b/>
          <w:i/>
        </w:rPr>
        <w:t>Vedanta</w:t>
      </w:r>
      <w:r w:rsidR="0014121E">
        <w:t xml:space="preserve"> </w:t>
      </w:r>
      <w:r>
        <w:t xml:space="preserve">jurisdictional challenge </w:t>
      </w:r>
      <w:r w:rsidR="0014121E">
        <w:t xml:space="preserve">gave </w:t>
      </w:r>
      <w:r>
        <w:t xml:space="preserve">rise to enormous time and expense in the excavation of </w:t>
      </w:r>
      <w:r w:rsidR="0014121E">
        <w:t xml:space="preserve">both </w:t>
      </w:r>
      <w:r>
        <w:t>factual and legal issues</w:t>
      </w:r>
      <w:r w:rsidR="0014121E">
        <w:t xml:space="preserve"> (and that this happened on appeal)</w:t>
      </w:r>
      <w:r>
        <w:t>. The Supreme Court was highly critical of this and indicated that a disproportionate approach to issues of jurisdiction (with consideration of factual issues before the Supreme Court) might result in “</w:t>
      </w:r>
      <w:r w:rsidRPr="004C1300">
        <w:rPr>
          <w:i/>
        </w:rPr>
        <w:t>condign costs consequences</w:t>
      </w:r>
      <w:r>
        <w:t xml:space="preserve">” for litigants and for </w:t>
      </w:r>
      <w:r w:rsidR="0014121E">
        <w:t xml:space="preserve">their </w:t>
      </w:r>
      <w:r>
        <w:t xml:space="preserve">lawyers. The Supreme Court’s reluctance in this case to entertain – on final appeal – factual complexity in the context of a jurisdictional contest might </w:t>
      </w:r>
      <w:r w:rsidR="0014121E">
        <w:t xml:space="preserve">provoke </w:t>
      </w:r>
      <w:r>
        <w:t>a hollow laugh fr</w:t>
      </w:r>
      <w:r w:rsidR="0014121E">
        <w:t>om</w:t>
      </w:r>
      <w:r>
        <w:t xml:space="preserve"> anyone who has read the Court’s judgment in </w:t>
      </w:r>
      <w:r w:rsidRPr="00C62CD9">
        <w:rPr>
          <w:b/>
          <w:i/>
        </w:rPr>
        <w:t xml:space="preserve">Four Seasons Holdings </w:t>
      </w:r>
      <w:proofErr w:type="spellStart"/>
      <w:r w:rsidRPr="00C62CD9">
        <w:rPr>
          <w:b/>
          <w:i/>
        </w:rPr>
        <w:t>Inc</w:t>
      </w:r>
      <w:proofErr w:type="spellEnd"/>
      <w:r w:rsidRPr="00C62CD9">
        <w:rPr>
          <w:b/>
          <w:i/>
        </w:rPr>
        <w:t xml:space="preserve"> v </w:t>
      </w:r>
      <w:proofErr w:type="spellStart"/>
      <w:r w:rsidRPr="00C62CD9">
        <w:rPr>
          <w:b/>
          <w:i/>
        </w:rPr>
        <w:lastRenderedPageBreak/>
        <w:t>Brownlie</w:t>
      </w:r>
      <w:proofErr w:type="spellEnd"/>
      <w:r>
        <w:t xml:space="preserve"> [2018] 1 WLR 192 (SC), but it is not for me to accuse their Lordships of inconsistency</w:t>
      </w:r>
      <w:bookmarkStart w:id="0" w:name="_GoBack"/>
      <w:bookmarkEnd w:id="0"/>
      <w:r>
        <w:t>.</w:t>
      </w:r>
    </w:p>
    <w:p w:rsidR="00122DAC" w:rsidRDefault="00122DAC" w:rsidP="00122DAC">
      <w:pPr>
        <w:rPr>
          <w:b/>
        </w:rPr>
      </w:pPr>
    </w:p>
    <w:p w:rsidR="00122DAC" w:rsidRDefault="00122DAC" w:rsidP="00122DAC">
      <w:pPr>
        <w:rPr>
          <w:b/>
        </w:rPr>
      </w:pPr>
      <w:r w:rsidRPr="00C62CD9">
        <w:rPr>
          <w:b/>
        </w:rPr>
        <w:t>Matthew Chapman</w:t>
      </w:r>
      <w:r>
        <w:rPr>
          <w:b/>
        </w:rPr>
        <w:t xml:space="preserve"> QC</w:t>
      </w:r>
    </w:p>
    <w:p w:rsidR="00122DAC" w:rsidRPr="00C62CD9" w:rsidRDefault="00122DAC" w:rsidP="00122DAC">
      <w:pPr>
        <w:rPr>
          <w:b/>
        </w:rPr>
      </w:pPr>
      <w:r>
        <w:rPr>
          <w:b/>
        </w:rPr>
        <w:t>1 Chancery Lane</w:t>
      </w:r>
      <w:r w:rsidRPr="00C62CD9">
        <w:rPr>
          <w:b/>
        </w:rPr>
        <w:t xml:space="preserve">    </w:t>
      </w:r>
    </w:p>
    <w:p w:rsidR="00122DAC" w:rsidRDefault="00122DAC" w:rsidP="00122DAC">
      <w:r>
        <w:t xml:space="preserve">  </w:t>
      </w:r>
    </w:p>
    <w:p w:rsidR="00122DAC" w:rsidRPr="001D23AA" w:rsidRDefault="00122DAC" w:rsidP="00122DAC">
      <w:r>
        <w:t xml:space="preserve">     </w:t>
      </w:r>
      <w:r w:rsidRPr="001D23AA">
        <w:t xml:space="preserve"> </w:t>
      </w:r>
      <w:r>
        <w:t xml:space="preserve"> </w:t>
      </w:r>
    </w:p>
    <w:sectPr w:rsidR="00122DAC" w:rsidRPr="001D23AA" w:rsidSect="007A210E">
      <w:type w:val="continuous"/>
      <w:pgSz w:w="11909" w:h="16834" w:code="9"/>
      <w:pgMar w:top="1440" w:right="994" w:bottom="1440" w:left="1134" w:header="720" w:footer="720" w:gutter="0"/>
      <w:cols w:num="2" w:space="720" w:equalWidth="0">
        <w:col w:w="4626" w:space="554"/>
        <w:col w:w="4601"/>
      </w:cols>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4A" w:rsidRDefault="00F8454A">
      <w:r>
        <w:separator/>
      </w:r>
    </w:p>
  </w:endnote>
  <w:endnote w:type="continuationSeparator" w:id="0">
    <w:p w:rsidR="00F8454A" w:rsidRDefault="00F8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34" w:rsidRDefault="00303C34" w:rsidP="004E5B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3C34" w:rsidRDefault="00303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34" w:rsidRPr="00C336B7" w:rsidRDefault="00303C34" w:rsidP="00467B21">
    <w:pPr>
      <w:pStyle w:val="Footer"/>
      <w:framePr w:w="961" w:wrap="around" w:vAnchor="text" w:hAnchor="page" w:x="10235" w:y="137"/>
      <w:rPr>
        <w:rStyle w:val="PageNumber"/>
        <w:rFonts w:asciiTheme="minorHAnsi" w:hAnsiTheme="minorHAnsi"/>
        <w:sz w:val="18"/>
      </w:rPr>
    </w:pPr>
    <w:r w:rsidRPr="00C336B7">
      <w:rPr>
        <w:rStyle w:val="PageNumber"/>
        <w:rFonts w:asciiTheme="minorHAnsi" w:hAnsiTheme="minorHAnsi"/>
        <w:sz w:val="18"/>
      </w:rPr>
      <w:fldChar w:fldCharType="begin"/>
    </w:r>
    <w:r w:rsidRPr="00C336B7">
      <w:rPr>
        <w:rStyle w:val="PageNumber"/>
        <w:rFonts w:asciiTheme="minorHAnsi" w:hAnsiTheme="minorHAnsi"/>
        <w:sz w:val="18"/>
      </w:rPr>
      <w:instrText xml:space="preserve">PAGE  </w:instrText>
    </w:r>
    <w:r w:rsidRPr="00C336B7">
      <w:rPr>
        <w:rStyle w:val="PageNumber"/>
        <w:rFonts w:asciiTheme="minorHAnsi" w:hAnsiTheme="minorHAnsi"/>
        <w:sz w:val="18"/>
      </w:rPr>
      <w:fldChar w:fldCharType="separate"/>
    </w:r>
    <w:r w:rsidR="0014121E">
      <w:rPr>
        <w:rStyle w:val="PageNumber"/>
        <w:rFonts w:asciiTheme="minorHAnsi" w:hAnsiTheme="minorHAnsi"/>
        <w:noProof/>
        <w:sz w:val="18"/>
      </w:rPr>
      <w:t>1</w:t>
    </w:r>
    <w:r w:rsidRPr="00C336B7">
      <w:rPr>
        <w:rStyle w:val="PageNumber"/>
        <w:rFonts w:asciiTheme="minorHAnsi" w:hAnsiTheme="minorHAnsi"/>
        <w:sz w:val="18"/>
      </w:rPr>
      <w:fldChar w:fldCharType="end"/>
    </w:r>
  </w:p>
  <w:p w:rsidR="00303C34" w:rsidRDefault="0030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4A" w:rsidRDefault="00F8454A">
      <w:r>
        <w:separator/>
      </w:r>
    </w:p>
  </w:footnote>
  <w:footnote w:type="continuationSeparator" w:id="0">
    <w:p w:rsidR="00F8454A" w:rsidRDefault="00F84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A713"/>
    <w:multiLevelType w:val="singleLevel"/>
    <w:tmpl w:val="6E7E4608"/>
    <w:lvl w:ilvl="0">
      <w:numFmt w:val="bullet"/>
      <w:lvlText w:val="·"/>
      <w:lvlJc w:val="left"/>
      <w:pPr>
        <w:tabs>
          <w:tab w:val="num" w:pos="1152"/>
        </w:tabs>
        <w:ind w:left="1152" w:hanging="216"/>
      </w:pPr>
      <w:rPr>
        <w:rFonts w:ascii="Symbol" w:hAnsi="Symbol"/>
        <w:sz w:val="23"/>
      </w:rPr>
    </w:lvl>
  </w:abstractNum>
  <w:abstractNum w:abstractNumId="1">
    <w:nsid w:val="070878C9"/>
    <w:multiLevelType w:val="hybridMultilevel"/>
    <w:tmpl w:val="880839A8"/>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3704CC"/>
    <w:multiLevelType w:val="hybridMultilevel"/>
    <w:tmpl w:val="B9E0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7115D"/>
    <w:multiLevelType w:val="hybridMultilevel"/>
    <w:tmpl w:val="ADE0FA9C"/>
    <w:lvl w:ilvl="0" w:tplc="7ED4FB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06547C"/>
    <w:multiLevelType w:val="hybridMultilevel"/>
    <w:tmpl w:val="B0483B3A"/>
    <w:lvl w:ilvl="0" w:tplc="EFE85D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0656E"/>
    <w:multiLevelType w:val="hybridMultilevel"/>
    <w:tmpl w:val="D81A0B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37C7410"/>
    <w:multiLevelType w:val="hybridMultilevel"/>
    <w:tmpl w:val="94DC5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7494D"/>
    <w:multiLevelType w:val="hybridMultilevel"/>
    <w:tmpl w:val="73945566"/>
    <w:lvl w:ilvl="0" w:tplc="28164B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4457A72"/>
    <w:multiLevelType w:val="hybridMultilevel"/>
    <w:tmpl w:val="FF8674D4"/>
    <w:lvl w:ilvl="0" w:tplc="51441F6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C1044"/>
    <w:multiLevelType w:val="hybridMultilevel"/>
    <w:tmpl w:val="7AF45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F33920"/>
    <w:multiLevelType w:val="hybridMultilevel"/>
    <w:tmpl w:val="03762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BF19FD"/>
    <w:multiLevelType w:val="hybridMultilevel"/>
    <w:tmpl w:val="D09EE3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1E750A"/>
    <w:multiLevelType w:val="hybridMultilevel"/>
    <w:tmpl w:val="486849D4"/>
    <w:lvl w:ilvl="0" w:tplc="C38C4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114EF2"/>
    <w:multiLevelType w:val="hybridMultilevel"/>
    <w:tmpl w:val="9CFAB3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4F844A83"/>
    <w:multiLevelType w:val="hybridMultilevel"/>
    <w:tmpl w:val="70D40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D15C07"/>
    <w:multiLevelType w:val="hybridMultilevel"/>
    <w:tmpl w:val="8E8E7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8783E87"/>
    <w:multiLevelType w:val="hybridMultilevel"/>
    <w:tmpl w:val="BC78DBCA"/>
    <w:lvl w:ilvl="0" w:tplc="ACFE14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D8172A"/>
    <w:multiLevelType w:val="hybridMultilevel"/>
    <w:tmpl w:val="71460CC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62A77F56"/>
    <w:multiLevelType w:val="hybridMultilevel"/>
    <w:tmpl w:val="BA165B8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0E5D1B"/>
    <w:multiLevelType w:val="multilevel"/>
    <w:tmpl w:val="4B929542"/>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907"/>
        </w:tabs>
        <w:ind w:left="907" w:hanging="397"/>
      </w:pPr>
      <w:rPr>
        <w:rFonts w:hint="default"/>
      </w:rPr>
    </w:lvl>
    <w:lvl w:ilvl="3">
      <w:start w:val="1"/>
      <w:numFmt w:val="lowerRoman"/>
      <w:pStyle w:val="N4"/>
      <w:lvlText w:val="(%4)"/>
      <w:lvlJc w:val="right"/>
      <w:pPr>
        <w:tabs>
          <w:tab w:val="num" w:pos="1304"/>
        </w:tabs>
        <w:ind w:left="1304" w:hanging="113"/>
      </w:pPr>
      <w:rPr>
        <w:rFonts w:hint="default"/>
      </w:rPr>
    </w:lvl>
    <w:lvl w:ilvl="4">
      <w:start w:val="27"/>
      <w:numFmt w:val="lowerLetter"/>
      <w:pStyle w:val="N5"/>
      <w:lvlText w:val="(%5)"/>
      <w:lvlJc w:val="left"/>
      <w:pPr>
        <w:tabs>
          <w:tab w:val="num" w:pos="1871"/>
        </w:tabs>
        <w:ind w:left="1871" w:hanging="567"/>
      </w:pPr>
      <w:rPr>
        <w:rFonts w:hint="default"/>
      </w:rPr>
    </w:lvl>
    <w:lvl w:ilvl="5">
      <w:start w:val="1"/>
      <w:numFmt w:val="lowerLetter"/>
      <w:lvlText w:val="(%6)"/>
      <w:lvlJc w:val="left"/>
      <w:pPr>
        <w:tabs>
          <w:tab w:val="num" w:pos="890"/>
        </w:tabs>
        <w:ind w:left="890" w:hanging="720"/>
      </w:pPr>
      <w:rPr>
        <w:rFonts w:hint="default"/>
      </w:rPr>
    </w:lvl>
    <w:lvl w:ilvl="6">
      <w:start w:val="1"/>
      <w:numFmt w:val="lowerRoman"/>
      <w:lvlText w:val="(%7)"/>
      <w:lvlJc w:val="left"/>
      <w:pPr>
        <w:tabs>
          <w:tab w:val="num" w:pos="1610"/>
        </w:tabs>
        <w:ind w:left="1610" w:hanging="720"/>
      </w:pPr>
      <w:rPr>
        <w:rFonts w:hint="default"/>
      </w:rPr>
    </w:lvl>
    <w:lvl w:ilvl="7">
      <w:start w:val="1"/>
      <w:numFmt w:val="lowerLetter"/>
      <w:lvlText w:val="(%8)"/>
      <w:lvlJc w:val="left"/>
      <w:pPr>
        <w:tabs>
          <w:tab w:val="num" w:pos="2330"/>
        </w:tabs>
        <w:ind w:left="2330" w:hanging="720"/>
      </w:pPr>
      <w:rPr>
        <w:rFonts w:hint="default"/>
      </w:rPr>
    </w:lvl>
    <w:lvl w:ilvl="8">
      <w:start w:val="1"/>
      <w:numFmt w:val="lowerRoman"/>
      <w:lvlText w:val="(%9)"/>
      <w:lvlJc w:val="left"/>
      <w:pPr>
        <w:tabs>
          <w:tab w:val="num" w:pos="3050"/>
        </w:tabs>
        <w:ind w:left="3050" w:hanging="720"/>
      </w:pPr>
      <w:rPr>
        <w:rFonts w:hint="default"/>
      </w:rPr>
    </w:lvl>
  </w:abstractNum>
  <w:abstractNum w:abstractNumId="2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9"/>
  </w:num>
  <w:num w:numId="2">
    <w:abstractNumId w:val="20"/>
  </w:num>
  <w:num w:numId="3">
    <w:abstractNumId w:val="9"/>
  </w:num>
  <w:num w:numId="4">
    <w:abstractNumId w:val="3"/>
  </w:num>
  <w:num w:numId="5">
    <w:abstractNumId w:val="1"/>
  </w:num>
  <w:num w:numId="6">
    <w:abstractNumId w:val="7"/>
  </w:num>
  <w:num w:numId="7">
    <w:abstractNumId w:val="14"/>
  </w:num>
  <w:num w:numId="8">
    <w:abstractNumId w:val="17"/>
  </w:num>
  <w:num w:numId="9">
    <w:abstractNumId w:val="0"/>
    <w:lvlOverride w:ilvl="0">
      <w:lvl w:ilvl="0">
        <w:numFmt w:val="bullet"/>
        <w:lvlText w:val="·"/>
        <w:lvlJc w:val="left"/>
        <w:pPr>
          <w:tabs>
            <w:tab w:val="num" w:pos="792"/>
          </w:tabs>
          <w:ind w:left="432"/>
        </w:pPr>
        <w:rPr>
          <w:rFonts w:ascii="Symbol" w:hAnsi="Symbol"/>
          <w:spacing w:val="2"/>
          <w:sz w:val="23"/>
        </w:rPr>
      </w:lvl>
    </w:lvlOverride>
  </w:num>
  <w:num w:numId="10">
    <w:abstractNumId w:val="0"/>
    <w:lvlOverride w:ilvl="0">
      <w:lvl w:ilvl="0">
        <w:numFmt w:val="bullet"/>
        <w:lvlText w:val="·"/>
        <w:lvlJc w:val="left"/>
        <w:pPr>
          <w:tabs>
            <w:tab w:val="num" w:pos="792"/>
          </w:tabs>
          <w:ind w:left="792" w:hanging="360"/>
        </w:pPr>
        <w:rPr>
          <w:rFonts w:ascii="Symbol" w:hAnsi="Symbol"/>
          <w:spacing w:val="3"/>
          <w:sz w:val="23"/>
        </w:rPr>
      </w:lvl>
    </w:lvlOverride>
  </w:num>
  <w:num w:numId="11">
    <w:abstractNumId w:val="0"/>
    <w:lvlOverride w:ilvl="0">
      <w:lvl w:ilvl="0">
        <w:numFmt w:val="bullet"/>
        <w:lvlText w:val="·"/>
        <w:lvlJc w:val="left"/>
        <w:pPr>
          <w:tabs>
            <w:tab w:val="num" w:pos="648"/>
          </w:tabs>
          <w:ind w:left="432"/>
        </w:pPr>
        <w:rPr>
          <w:rFonts w:ascii="Symbol" w:hAnsi="Symbol"/>
          <w:spacing w:val="1"/>
          <w:sz w:val="23"/>
        </w:rPr>
      </w:lvl>
    </w:lvlOverride>
  </w:num>
  <w:num w:numId="12">
    <w:abstractNumId w:val="15"/>
  </w:num>
  <w:num w:numId="13">
    <w:abstractNumId w:val="8"/>
  </w:num>
  <w:num w:numId="14">
    <w:abstractNumId w:val="4"/>
  </w:num>
  <w:num w:numId="15">
    <w:abstractNumId w:val="11"/>
  </w:num>
  <w:num w:numId="16">
    <w:abstractNumId w:val="16"/>
  </w:num>
  <w:num w:numId="17">
    <w:abstractNumId w:val="6"/>
  </w:num>
  <w:num w:numId="18">
    <w:abstractNumId w:val="5"/>
  </w:num>
  <w:num w:numId="19">
    <w:abstractNumId w:val="13"/>
  </w:num>
  <w:num w:numId="20">
    <w:abstractNumId w:val="2"/>
  </w:num>
  <w:num w:numId="21">
    <w:abstractNumId w:val="18"/>
  </w:num>
  <w:num w:numId="22">
    <w:abstractNumId w:val="12"/>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3B"/>
    <w:rsid w:val="000040E6"/>
    <w:rsid w:val="00013E4A"/>
    <w:rsid w:val="00017ABC"/>
    <w:rsid w:val="00017CAD"/>
    <w:rsid w:val="00020E04"/>
    <w:rsid w:val="0002133F"/>
    <w:rsid w:val="00021A5B"/>
    <w:rsid w:val="00022508"/>
    <w:rsid w:val="000343B2"/>
    <w:rsid w:val="00034831"/>
    <w:rsid w:val="00040A74"/>
    <w:rsid w:val="00040D3C"/>
    <w:rsid w:val="00043AE3"/>
    <w:rsid w:val="00046587"/>
    <w:rsid w:val="00047ADC"/>
    <w:rsid w:val="00050C69"/>
    <w:rsid w:val="00071961"/>
    <w:rsid w:val="00074B8F"/>
    <w:rsid w:val="00081328"/>
    <w:rsid w:val="00082159"/>
    <w:rsid w:val="00082A77"/>
    <w:rsid w:val="00083B7A"/>
    <w:rsid w:val="00085AF9"/>
    <w:rsid w:val="00090288"/>
    <w:rsid w:val="00092584"/>
    <w:rsid w:val="00094A73"/>
    <w:rsid w:val="00095258"/>
    <w:rsid w:val="00096A33"/>
    <w:rsid w:val="000A2519"/>
    <w:rsid w:val="000A2F9E"/>
    <w:rsid w:val="000A440F"/>
    <w:rsid w:val="000B0672"/>
    <w:rsid w:val="000B1B7B"/>
    <w:rsid w:val="000B2F45"/>
    <w:rsid w:val="000B3F0A"/>
    <w:rsid w:val="000B447F"/>
    <w:rsid w:val="000B4C1C"/>
    <w:rsid w:val="000C70EA"/>
    <w:rsid w:val="000C73E1"/>
    <w:rsid w:val="000E798D"/>
    <w:rsid w:val="000F3E5D"/>
    <w:rsid w:val="000F5876"/>
    <w:rsid w:val="00113C68"/>
    <w:rsid w:val="001152C4"/>
    <w:rsid w:val="00115857"/>
    <w:rsid w:val="00115FA7"/>
    <w:rsid w:val="001169A8"/>
    <w:rsid w:val="00117654"/>
    <w:rsid w:val="00121DEB"/>
    <w:rsid w:val="001228BB"/>
    <w:rsid w:val="00122DAC"/>
    <w:rsid w:val="00126E2A"/>
    <w:rsid w:val="001342AC"/>
    <w:rsid w:val="0013667D"/>
    <w:rsid w:val="0014121E"/>
    <w:rsid w:val="001422C2"/>
    <w:rsid w:val="0014358E"/>
    <w:rsid w:val="00146ADE"/>
    <w:rsid w:val="00151F0C"/>
    <w:rsid w:val="0015483F"/>
    <w:rsid w:val="00155B86"/>
    <w:rsid w:val="00157B24"/>
    <w:rsid w:val="00174FD9"/>
    <w:rsid w:val="00175E90"/>
    <w:rsid w:val="0018144D"/>
    <w:rsid w:val="001921B7"/>
    <w:rsid w:val="00193676"/>
    <w:rsid w:val="00193B00"/>
    <w:rsid w:val="0019469E"/>
    <w:rsid w:val="00196862"/>
    <w:rsid w:val="00197D5F"/>
    <w:rsid w:val="00197E79"/>
    <w:rsid w:val="001A0C5D"/>
    <w:rsid w:val="001A52CE"/>
    <w:rsid w:val="001A619C"/>
    <w:rsid w:val="001B1166"/>
    <w:rsid w:val="001B1586"/>
    <w:rsid w:val="001B2B0D"/>
    <w:rsid w:val="001B2DCD"/>
    <w:rsid w:val="001B39A0"/>
    <w:rsid w:val="001B481B"/>
    <w:rsid w:val="001C125B"/>
    <w:rsid w:val="001C46B7"/>
    <w:rsid w:val="001C7D79"/>
    <w:rsid w:val="001D391F"/>
    <w:rsid w:val="001D3CF2"/>
    <w:rsid w:val="001F1EC8"/>
    <w:rsid w:val="002008BD"/>
    <w:rsid w:val="00200931"/>
    <w:rsid w:val="00201B81"/>
    <w:rsid w:val="00205425"/>
    <w:rsid w:val="002076BF"/>
    <w:rsid w:val="00207E8C"/>
    <w:rsid w:val="00213C75"/>
    <w:rsid w:val="002141C6"/>
    <w:rsid w:val="002233E3"/>
    <w:rsid w:val="002253A0"/>
    <w:rsid w:val="00227D33"/>
    <w:rsid w:val="00234EC0"/>
    <w:rsid w:val="0024249E"/>
    <w:rsid w:val="00247A92"/>
    <w:rsid w:val="002505C4"/>
    <w:rsid w:val="002513A5"/>
    <w:rsid w:val="00261D5E"/>
    <w:rsid w:val="00266867"/>
    <w:rsid w:val="00272A2B"/>
    <w:rsid w:val="002758DB"/>
    <w:rsid w:val="00277597"/>
    <w:rsid w:val="002807B4"/>
    <w:rsid w:val="00281563"/>
    <w:rsid w:val="00283CA1"/>
    <w:rsid w:val="0028400C"/>
    <w:rsid w:val="002857A0"/>
    <w:rsid w:val="00293E28"/>
    <w:rsid w:val="00294692"/>
    <w:rsid w:val="002A0626"/>
    <w:rsid w:val="002A2697"/>
    <w:rsid w:val="002A2839"/>
    <w:rsid w:val="002A2E5C"/>
    <w:rsid w:val="002A3B05"/>
    <w:rsid w:val="002A7603"/>
    <w:rsid w:val="002B196A"/>
    <w:rsid w:val="002B47CC"/>
    <w:rsid w:val="002C01D7"/>
    <w:rsid w:val="002C0E48"/>
    <w:rsid w:val="002C551D"/>
    <w:rsid w:val="002C7282"/>
    <w:rsid w:val="002C750B"/>
    <w:rsid w:val="002D22EE"/>
    <w:rsid w:val="002D3B78"/>
    <w:rsid w:val="002D4466"/>
    <w:rsid w:val="002D4E62"/>
    <w:rsid w:val="002D7688"/>
    <w:rsid w:val="002E0ED2"/>
    <w:rsid w:val="002E3831"/>
    <w:rsid w:val="002E5C04"/>
    <w:rsid w:val="002E6277"/>
    <w:rsid w:val="002F2B22"/>
    <w:rsid w:val="002F7B62"/>
    <w:rsid w:val="003002E4"/>
    <w:rsid w:val="00302702"/>
    <w:rsid w:val="00303C1E"/>
    <w:rsid w:val="00303C34"/>
    <w:rsid w:val="003050E9"/>
    <w:rsid w:val="00305270"/>
    <w:rsid w:val="00312E6C"/>
    <w:rsid w:val="0031382C"/>
    <w:rsid w:val="00317ACE"/>
    <w:rsid w:val="00317F62"/>
    <w:rsid w:val="00320873"/>
    <w:rsid w:val="00326D35"/>
    <w:rsid w:val="00327A67"/>
    <w:rsid w:val="00332181"/>
    <w:rsid w:val="0033369A"/>
    <w:rsid w:val="003341B8"/>
    <w:rsid w:val="003349E0"/>
    <w:rsid w:val="00334CFC"/>
    <w:rsid w:val="003360B4"/>
    <w:rsid w:val="00337815"/>
    <w:rsid w:val="00340DB7"/>
    <w:rsid w:val="0034108C"/>
    <w:rsid w:val="00342418"/>
    <w:rsid w:val="00347926"/>
    <w:rsid w:val="00351C58"/>
    <w:rsid w:val="00352135"/>
    <w:rsid w:val="003534D5"/>
    <w:rsid w:val="00354644"/>
    <w:rsid w:val="00356A44"/>
    <w:rsid w:val="00367339"/>
    <w:rsid w:val="00370FDE"/>
    <w:rsid w:val="00371329"/>
    <w:rsid w:val="00380603"/>
    <w:rsid w:val="00384D22"/>
    <w:rsid w:val="00387950"/>
    <w:rsid w:val="0039374B"/>
    <w:rsid w:val="00393D7A"/>
    <w:rsid w:val="0039523A"/>
    <w:rsid w:val="003A1C85"/>
    <w:rsid w:val="003A3E1E"/>
    <w:rsid w:val="003A55CF"/>
    <w:rsid w:val="003A56F6"/>
    <w:rsid w:val="003A6F6A"/>
    <w:rsid w:val="003A7517"/>
    <w:rsid w:val="003B21F1"/>
    <w:rsid w:val="003B4467"/>
    <w:rsid w:val="003B643B"/>
    <w:rsid w:val="003B7A18"/>
    <w:rsid w:val="003C280F"/>
    <w:rsid w:val="003D0A7D"/>
    <w:rsid w:val="003D55F8"/>
    <w:rsid w:val="003D72A6"/>
    <w:rsid w:val="003E291B"/>
    <w:rsid w:val="003E45C8"/>
    <w:rsid w:val="003E6685"/>
    <w:rsid w:val="003F348C"/>
    <w:rsid w:val="003F6E36"/>
    <w:rsid w:val="00403660"/>
    <w:rsid w:val="00406EDF"/>
    <w:rsid w:val="00415AD8"/>
    <w:rsid w:val="00424F8C"/>
    <w:rsid w:val="0043290B"/>
    <w:rsid w:val="00433CDE"/>
    <w:rsid w:val="004346DF"/>
    <w:rsid w:val="004370DD"/>
    <w:rsid w:val="00437F7E"/>
    <w:rsid w:val="004459CB"/>
    <w:rsid w:val="00445E01"/>
    <w:rsid w:val="0045281B"/>
    <w:rsid w:val="00456501"/>
    <w:rsid w:val="00457C8D"/>
    <w:rsid w:val="00463EFA"/>
    <w:rsid w:val="004649E3"/>
    <w:rsid w:val="00467B21"/>
    <w:rsid w:val="0047058C"/>
    <w:rsid w:val="00473214"/>
    <w:rsid w:val="004744CF"/>
    <w:rsid w:val="00481CC6"/>
    <w:rsid w:val="004858BB"/>
    <w:rsid w:val="00490B61"/>
    <w:rsid w:val="00492518"/>
    <w:rsid w:val="00492FE4"/>
    <w:rsid w:val="00496410"/>
    <w:rsid w:val="0049759C"/>
    <w:rsid w:val="004A18E6"/>
    <w:rsid w:val="004A1B11"/>
    <w:rsid w:val="004A23D6"/>
    <w:rsid w:val="004A3767"/>
    <w:rsid w:val="004A50E9"/>
    <w:rsid w:val="004A55CD"/>
    <w:rsid w:val="004A73A8"/>
    <w:rsid w:val="004B0151"/>
    <w:rsid w:val="004B230F"/>
    <w:rsid w:val="004B7141"/>
    <w:rsid w:val="004C1F33"/>
    <w:rsid w:val="004C5E9F"/>
    <w:rsid w:val="004C6115"/>
    <w:rsid w:val="004D0A3D"/>
    <w:rsid w:val="004D14A0"/>
    <w:rsid w:val="004D3648"/>
    <w:rsid w:val="004E5BAA"/>
    <w:rsid w:val="004E5F3F"/>
    <w:rsid w:val="005014AC"/>
    <w:rsid w:val="00505077"/>
    <w:rsid w:val="0051096C"/>
    <w:rsid w:val="00523E46"/>
    <w:rsid w:val="0054255E"/>
    <w:rsid w:val="00544BF4"/>
    <w:rsid w:val="00544E3B"/>
    <w:rsid w:val="00552951"/>
    <w:rsid w:val="005560E4"/>
    <w:rsid w:val="00556F9E"/>
    <w:rsid w:val="00557D54"/>
    <w:rsid w:val="0056395D"/>
    <w:rsid w:val="00567438"/>
    <w:rsid w:val="0057111E"/>
    <w:rsid w:val="005727D3"/>
    <w:rsid w:val="00574542"/>
    <w:rsid w:val="00574DF9"/>
    <w:rsid w:val="00575FA4"/>
    <w:rsid w:val="005817DA"/>
    <w:rsid w:val="00584D12"/>
    <w:rsid w:val="005852CE"/>
    <w:rsid w:val="005927B1"/>
    <w:rsid w:val="00594E32"/>
    <w:rsid w:val="005950EA"/>
    <w:rsid w:val="00596237"/>
    <w:rsid w:val="005A12E5"/>
    <w:rsid w:val="005A6FE9"/>
    <w:rsid w:val="005A7488"/>
    <w:rsid w:val="005B14C4"/>
    <w:rsid w:val="005B5F3E"/>
    <w:rsid w:val="005B6F09"/>
    <w:rsid w:val="005C4457"/>
    <w:rsid w:val="005C51AC"/>
    <w:rsid w:val="005C6B08"/>
    <w:rsid w:val="005D17E6"/>
    <w:rsid w:val="005D5843"/>
    <w:rsid w:val="005D64EB"/>
    <w:rsid w:val="005E094A"/>
    <w:rsid w:val="005E3357"/>
    <w:rsid w:val="005E7FC1"/>
    <w:rsid w:val="005F1F9E"/>
    <w:rsid w:val="005F7DE2"/>
    <w:rsid w:val="006069C0"/>
    <w:rsid w:val="00610400"/>
    <w:rsid w:val="00614906"/>
    <w:rsid w:val="00614C88"/>
    <w:rsid w:val="00615311"/>
    <w:rsid w:val="0061552E"/>
    <w:rsid w:val="006157C4"/>
    <w:rsid w:val="00615AB5"/>
    <w:rsid w:val="00615CA4"/>
    <w:rsid w:val="006253B9"/>
    <w:rsid w:val="00634C5F"/>
    <w:rsid w:val="00641DD7"/>
    <w:rsid w:val="00643035"/>
    <w:rsid w:val="00656513"/>
    <w:rsid w:val="00660255"/>
    <w:rsid w:val="0066094D"/>
    <w:rsid w:val="00664A67"/>
    <w:rsid w:val="00664C92"/>
    <w:rsid w:val="00666BF6"/>
    <w:rsid w:val="00672A97"/>
    <w:rsid w:val="006770F5"/>
    <w:rsid w:val="00680A27"/>
    <w:rsid w:val="00682D25"/>
    <w:rsid w:val="00683097"/>
    <w:rsid w:val="00683F34"/>
    <w:rsid w:val="00691200"/>
    <w:rsid w:val="00695F38"/>
    <w:rsid w:val="006A0344"/>
    <w:rsid w:val="006A6B5A"/>
    <w:rsid w:val="006A7920"/>
    <w:rsid w:val="006B4E59"/>
    <w:rsid w:val="006C09D6"/>
    <w:rsid w:val="006C65AD"/>
    <w:rsid w:val="006C6C96"/>
    <w:rsid w:val="006E2430"/>
    <w:rsid w:val="006E33DF"/>
    <w:rsid w:val="006E5457"/>
    <w:rsid w:val="006E56DB"/>
    <w:rsid w:val="006E5F30"/>
    <w:rsid w:val="006E6895"/>
    <w:rsid w:val="006F0B19"/>
    <w:rsid w:val="006F717B"/>
    <w:rsid w:val="007004E6"/>
    <w:rsid w:val="00704459"/>
    <w:rsid w:val="00711D64"/>
    <w:rsid w:val="00715587"/>
    <w:rsid w:val="00721E6D"/>
    <w:rsid w:val="00737C1C"/>
    <w:rsid w:val="00743086"/>
    <w:rsid w:val="00746FA1"/>
    <w:rsid w:val="007502F7"/>
    <w:rsid w:val="007513EA"/>
    <w:rsid w:val="00751FBB"/>
    <w:rsid w:val="0075226F"/>
    <w:rsid w:val="00754DAA"/>
    <w:rsid w:val="007638DF"/>
    <w:rsid w:val="00764953"/>
    <w:rsid w:val="00764ED1"/>
    <w:rsid w:val="00764FEE"/>
    <w:rsid w:val="00765775"/>
    <w:rsid w:val="00766653"/>
    <w:rsid w:val="007720ED"/>
    <w:rsid w:val="0077566D"/>
    <w:rsid w:val="00777621"/>
    <w:rsid w:val="00783C8F"/>
    <w:rsid w:val="00790059"/>
    <w:rsid w:val="00792BB6"/>
    <w:rsid w:val="00792C61"/>
    <w:rsid w:val="00796173"/>
    <w:rsid w:val="00796ABC"/>
    <w:rsid w:val="007A210E"/>
    <w:rsid w:val="007B673B"/>
    <w:rsid w:val="007C3107"/>
    <w:rsid w:val="007C4376"/>
    <w:rsid w:val="007C618E"/>
    <w:rsid w:val="007D3144"/>
    <w:rsid w:val="007D71C4"/>
    <w:rsid w:val="007E0257"/>
    <w:rsid w:val="007F3556"/>
    <w:rsid w:val="007F7DA7"/>
    <w:rsid w:val="0081485A"/>
    <w:rsid w:val="00820196"/>
    <w:rsid w:val="00823235"/>
    <w:rsid w:val="00824263"/>
    <w:rsid w:val="00826F45"/>
    <w:rsid w:val="00845E47"/>
    <w:rsid w:val="008470BE"/>
    <w:rsid w:val="00853EBD"/>
    <w:rsid w:val="00860D6B"/>
    <w:rsid w:val="008708D3"/>
    <w:rsid w:val="00871E7E"/>
    <w:rsid w:val="00872A54"/>
    <w:rsid w:val="008754CE"/>
    <w:rsid w:val="00875BA7"/>
    <w:rsid w:val="00876968"/>
    <w:rsid w:val="00876E3B"/>
    <w:rsid w:val="008842E9"/>
    <w:rsid w:val="008906B5"/>
    <w:rsid w:val="0089798F"/>
    <w:rsid w:val="008A1E9D"/>
    <w:rsid w:val="008A4E9A"/>
    <w:rsid w:val="008A5262"/>
    <w:rsid w:val="008B23B8"/>
    <w:rsid w:val="008B6677"/>
    <w:rsid w:val="008C0B08"/>
    <w:rsid w:val="008C3095"/>
    <w:rsid w:val="008C6838"/>
    <w:rsid w:val="008D06E5"/>
    <w:rsid w:val="008D117E"/>
    <w:rsid w:val="008D29D6"/>
    <w:rsid w:val="008D2C1C"/>
    <w:rsid w:val="008E066A"/>
    <w:rsid w:val="008E4F19"/>
    <w:rsid w:val="008F58FE"/>
    <w:rsid w:val="00904775"/>
    <w:rsid w:val="00905744"/>
    <w:rsid w:val="00911375"/>
    <w:rsid w:val="0091423F"/>
    <w:rsid w:val="009146CE"/>
    <w:rsid w:val="00917C96"/>
    <w:rsid w:val="00920106"/>
    <w:rsid w:val="00922503"/>
    <w:rsid w:val="009228D0"/>
    <w:rsid w:val="00923DC2"/>
    <w:rsid w:val="00924B40"/>
    <w:rsid w:val="009317EF"/>
    <w:rsid w:val="009320DD"/>
    <w:rsid w:val="00935DF6"/>
    <w:rsid w:val="009372A5"/>
    <w:rsid w:val="0094242C"/>
    <w:rsid w:val="00943B36"/>
    <w:rsid w:val="00946E95"/>
    <w:rsid w:val="009518B5"/>
    <w:rsid w:val="0095305C"/>
    <w:rsid w:val="0095343A"/>
    <w:rsid w:val="009534B8"/>
    <w:rsid w:val="0095423D"/>
    <w:rsid w:val="009603FB"/>
    <w:rsid w:val="0096127E"/>
    <w:rsid w:val="009658F5"/>
    <w:rsid w:val="009662F5"/>
    <w:rsid w:val="00967512"/>
    <w:rsid w:val="00971638"/>
    <w:rsid w:val="00973BD5"/>
    <w:rsid w:val="00973C93"/>
    <w:rsid w:val="00975062"/>
    <w:rsid w:val="009808D6"/>
    <w:rsid w:val="009810AB"/>
    <w:rsid w:val="00990E33"/>
    <w:rsid w:val="009971B8"/>
    <w:rsid w:val="009A2733"/>
    <w:rsid w:val="009A3159"/>
    <w:rsid w:val="009D0ADD"/>
    <w:rsid w:val="009D67D7"/>
    <w:rsid w:val="009D6B31"/>
    <w:rsid w:val="009D76C1"/>
    <w:rsid w:val="009E143B"/>
    <w:rsid w:val="009E1535"/>
    <w:rsid w:val="009E362E"/>
    <w:rsid w:val="009F0719"/>
    <w:rsid w:val="009F60B0"/>
    <w:rsid w:val="00A00384"/>
    <w:rsid w:val="00A052FF"/>
    <w:rsid w:val="00A056FD"/>
    <w:rsid w:val="00A06F4F"/>
    <w:rsid w:val="00A22F4B"/>
    <w:rsid w:val="00A26365"/>
    <w:rsid w:val="00A270CA"/>
    <w:rsid w:val="00A276E6"/>
    <w:rsid w:val="00A30593"/>
    <w:rsid w:val="00A320B3"/>
    <w:rsid w:val="00A32F06"/>
    <w:rsid w:val="00A40C08"/>
    <w:rsid w:val="00A42D6A"/>
    <w:rsid w:val="00A55A23"/>
    <w:rsid w:val="00A56117"/>
    <w:rsid w:val="00A572F6"/>
    <w:rsid w:val="00A62479"/>
    <w:rsid w:val="00A62E79"/>
    <w:rsid w:val="00A646E4"/>
    <w:rsid w:val="00A65C38"/>
    <w:rsid w:val="00A66C9C"/>
    <w:rsid w:val="00A66CB9"/>
    <w:rsid w:val="00A67F36"/>
    <w:rsid w:val="00A710AC"/>
    <w:rsid w:val="00A71374"/>
    <w:rsid w:val="00A73140"/>
    <w:rsid w:val="00A742E4"/>
    <w:rsid w:val="00A77C82"/>
    <w:rsid w:val="00A77E27"/>
    <w:rsid w:val="00A82A8A"/>
    <w:rsid w:val="00A86C8B"/>
    <w:rsid w:val="00A87C92"/>
    <w:rsid w:val="00A87E8D"/>
    <w:rsid w:val="00A911E5"/>
    <w:rsid w:val="00A9506C"/>
    <w:rsid w:val="00AA44D0"/>
    <w:rsid w:val="00AA48F9"/>
    <w:rsid w:val="00AA5451"/>
    <w:rsid w:val="00AB1EF7"/>
    <w:rsid w:val="00AB24CA"/>
    <w:rsid w:val="00AB3FEB"/>
    <w:rsid w:val="00AB6B66"/>
    <w:rsid w:val="00AC6F63"/>
    <w:rsid w:val="00AD1650"/>
    <w:rsid w:val="00AD7F41"/>
    <w:rsid w:val="00AE0FB7"/>
    <w:rsid w:val="00AE14E9"/>
    <w:rsid w:val="00AE7034"/>
    <w:rsid w:val="00AF4A65"/>
    <w:rsid w:val="00B02140"/>
    <w:rsid w:val="00B10745"/>
    <w:rsid w:val="00B11A89"/>
    <w:rsid w:val="00B12B0A"/>
    <w:rsid w:val="00B2703B"/>
    <w:rsid w:val="00B30D32"/>
    <w:rsid w:val="00B355D9"/>
    <w:rsid w:val="00B532A1"/>
    <w:rsid w:val="00B56FA3"/>
    <w:rsid w:val="00B603AB"/>
    <w:rsid w:val="00B62BB0"/>
    <w:rsid w:val="00B63F91"/>
    <w:rsid w:val="00B66A8B"/>
    <w:rsid w:val="00B70A2B"/>
    <w:rsid w:val="00B71F6C"/>
    <w:rsid w:val="00B76503"/>
    <w:rsid w:val="00B86EB4"/>
    <w:rsid w:val="00B918A6"/>
    <w:rsid w:val="00B93025"/>
    <w:rsid w:val="00BA0F51"/>
    <w:rsid w:val="00BA7194"/>
    <w:rsid w:val="00BB2773"/>
    <w:rsid w:val="00BB4BED"/>
    <w:rsid w:val="00BC39D7"/>
    <w:rsid w:val="00BC408B"/>
    <w:rsid w:val="00BC6E81"/>
    <w:rsid w:val="00BC6FD5"/>
    <w:rsid w:val="00BD2E9D"/>
    <w:rsid w:val="00BD3C82"/>
    <w:rsid w:val="00BE4BFD"/>
    <w:rsid w:val="00BF1858"/>
    <w:rsid w:val="00BF62C6"/>
    <w:rsid w:val="00C02357"/>
    <w:rsid w:val="00C050AF"/>
    <w:rsid w:val="00C050CE"/>
    <w:rsid w:val="00C068B4"/>
    <w:rsid w:val="00C1007F"/>
    <w:rsid w:val="00C10673"/>
    <w:rsid w:val="00C11B41"/>
    <w:rsid w:val="00C1397C"/>
    <w:rsid w:val="00C13FDA"/>
    <w:rsid w:val="00C171DB"/>
    <w:rsid w:val="00C178D4"/>
    <w:rsid w:val="00C25F92"/>
    <w:rsid w:val="00C336B7"/>
    <w:rsid w:val="00C354CE"/>
    <w:rsid w:val="00C37403"/>
    <w:rsid w:val="00C4362D"/>
    <w:rsid w:val="00C442F6"/>
    <w:rsid w:val="00C47CBF"/>
    <w:rsid w:val="00C50D2A"/>
    <w:rsid w:val="00C64914"/>
    <w:rsid w:val="00C64E3A"/>
    <w:rsid w:val="00C75056"/>
    <w:rsid w:val="00C815CA"/>
    <w:rsid w:val="00C83B67"/>
    <w:rsid w:val="00C85CAD"/>
    <w:rsid w:val="00C91364"/>
    <w:rsid w:val="00C916FD"/>
    <w:rsid w:val="00C937DA"/>
    <w:rsid w:val="00C93CEE"/>
    <w:rsid w:val="00C958EF"/>
    <w:rsid w:val="00CA053C"/>
    <w:rsid w:val="00CB39ED"/>
    <w:rsid w:val="00CB4A13"/>
    <w:rsid w:val="00CC51C8"/>
    <w:rsid w:val="00CD2C99"/>
    <w:rsid w:val="00CD354F"/>
    <w:rsid w:val="00CD434A"/>
    <w:rsid w:val="00CE252C"/>
    <w:rsid w:val="00CE6493"/>
    <w:rsid w:val="00CF0603"/>
    <w:rsid w:val="00CF21BE"/>
    <w:rsid w:val="00D01F5C"/>
    <w:rsid w:val="00D03586"/>
    <w:rsid w:val="00D1460E"/>
    <w:rsid w:val="00D16682"/>
    <w:rsid w:val="00D2180F"/>
    <w:rsid w:val="00D22326"/>
    <w:rsid w:val="00D233AB"/>
    <w:rsid w:val="00D23CC7"/>
    <w:rsid w:val="00D328CD"/>
    <w:rsid w:val="00D350E4"/>
    <w:rsid w:val="00D35169"/>
    <w:rsid w:val="00D357B9"/>
    <w:rsid w:val="00D432BD"/>
    <w:rsid w:val="00D52209"/>
    <w:rsid w:val="00D661E3"/>
    <w:rsid w:val="00D66452"/>
    <w:rsid w:val="00D665A9"/>
    <w:rsid w:val="00D66EBA"/>
    <w:rsid w:val="00D6789D"/>
    <w:rsid w:val="00D67FE0"/>
    <w:rsid w:val="00D7392A"/>
    <w:rsid w:val="00D83CA1"/>
    <w:rsid w:val="00D85152"/>
    <w:rsid w:val="00D914D8"/>
    <w:rsid w:val="00D93790"/>
    <w:rsid w:val="00DA2A5D"/>
    <w:rsid w:val="00DA45FF"/>
    <w:rsid w:val="00DB08F9"/>
    <w:rsid w:val="00DB36B9"/>
    <w:rsid w:val="00DB72A7"/>
    <w:rsid w:val="00DC0E8D"/>
    <w:rsid w:val="00DC1081"/>
    <w:rsid w:val="00DC211D"/>
    <w:rsid w:val="00DD074C"/>
    <w:rsid w:val="00DD1398"/>
    <w:rsid w:val="00DD3065"/>
    <w:rsid w:val="00DD3B7A"/>
    <w:rsid w:val="00DD3EC9"/>
    <w:rsid w:val="00DD67E2"/>
    <w:rsid w:val="00DD731B"/>
    <w:rsid w:val="00DE2436"/>
    <w:rsid w:val="00DE446F"/>
    <w:rsid w:val="00DF05E1"/>
    <w:rsid w:val="00DF6E64"/>
    <w:rsid w:val="00E00B71"/>
    <w:rsid w:val="00E03B87"/>
    <w:rsid w:val="00E06BBF"/>
    <w:rsid w:val="00E1318F"/>
    <w:rsid w:val="00E143B8"/>
    <w:rsid w:val="00E1531C"/>
    <w:rsid w:val="00E24CEB"/>
    <w:rsid w:val="00E367D6"/>
    <w:rsid w:val="00E51280"/>
    <w:rsid w:val="00E54726"/>
    <w:rsid w:val="00E555FC"/>
    <w:rsid w:val="00E5577C"/>
    <w:rsid w:val="00E60210"/>
    <w:rsid w:val="00E60C1A"/>
    <w:rsid w:val="00E74DD9"/>
    <w:rsid w:val="00E75615"/>
    <w:rsid w:val="00E76B44"/>
    <w:rsid w:val="00E8085E"/>
    <w:rsid w:val="00E80CAB"/>
    <w:rsid w:val="00E80D61"/>
    <w:rsid w:val="00E82C84"/>
    <w:rsid w:val="00E85526"/>
    <w:rsid w:val="00E91AD6"/>
    <w:rsid w:val="00E975F5"/>
    <w:rsid w:val="00EA5878"/>
    <w:rsid w:val="00EB15B3"/>
    <w:rsid w:val="00EB1D1C"/>
    <w:rsid w:val="00EB5F05"/>
    <w:rsid w:val="00EC2D08"/>
    <w:rsid w:val="00EC4615"/>
    <w:rsid w:val="00ED2022"/>
    <w:rsid w:val="00EE0815"/>
    <w:rsid w:val="00EE3401"/>
    <w:rsid w:val="00EF01D2"/>
    <w:rsid w:val="00EF0643"/>
    <w:rsid w:val="00EF4785"/>
    <w:rsid w:val="00EF4A7B"/>
    <w:rsid w:val="00EF4A8B"/>
    <w:rsid w:val="00EF5762"/>
    <w:rsid w:val="00EF684B"/>
    <w:rsid w:val="00EF6C3F"/>
    <w:rsid w:val="00F01657"/>
    <w:rsid w:val="00F03E66"/>
    <w:rsid w:val="00F048AA"/>
    <w:rsid w:val="00F13D55"/>
    <w:rsid w:val="00F2066D"/>
    <w:rsid w:val="00F23B4E"/>
    <w:rsid w:val="00F32B6A"/>
    <w:rsid w:val="00F3732F"/>
    <w:rsid w:val="00F405E9"/>
    <w:rsid w:val="00F4192E"/>
    <w:rsid w:val="00F458DE"/>
    <w:rsid w:val="00F45C8E"/>
    <w:rsid w:val="00F4712E"/>
    <w:rsid w:val="00F51FBB"/>
    <w:rsid w:val="00F54011"/>
    <w:rsid w:val="00F56516"/>
    <w:rsid w:val="00F56791"/>
    <w:rsid w:val="00F61BB6"/>
    <w:rsid w:val="00F65629"/>
    <w:rsid w:val="00F758FA"/>
    <w:rsid w:val="00F80A00"/>
    <w:rsid w:val="00F8341B"/>
    <w:rsid w:val="00F8454A"/>
    <w:rsid w:val="00F874F1"/>
    <w:rsid w:val="00F92063"/>
    <w:rsid w:val="00F946C5"/>
    <w:rsid w:val="00FA07BC"/>
    <w:rsid w:val="00FA1CBA"/>
    <w:rsid w:val="00FA2359"/>
    <w:rsid w:val="00FA2ED8"/>
    <w:rsid w:val="00FA2F37"/>
    <w:rsid w:val="00FA3E8B"/>
    <w:rsid w:val="00FB19A6"/>
    <w:rsid w:val="00FB2EBC"/>
    <w:rsid w:val="00FB48DF"/>
    <w:rsid w:val="00FB5ACE"/>
    <w:rsid w:val="00FB612C"/>
    <w:rsid w:val="00FB656F"/>
    <w:rsid w:val="00FB7C8B"/>
    <w:rsid w:val="00FD2B26"/>
    <w:rsid w:val="00FD4D7D"/>
    <w:rsid w:val="00FD52D8"/>
    <w:rsid w:val="00FD7EB6"/>
    <w:rsid w:val="00FE193A"/>
    <w:rsid w:val="00FF3931"/>
    <w:rsid w:val="00FF56C9"/>
    <w:rsid w:val="00FF6ED6"/>
    <w:rsid w:val="00FF7232"/>
    <w:rsid w:val="00FF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9146CE"/>
    <w:pPr>
      <w:keepNext/>
      <w:spacing w:line="360" w:lineRule="auto"/>
      <w:jc w:val="both"/>
      <w:outlineLvl w:val="0"/>
    </w:pPr>
    <w:rPr>
      <w:rFonts w:ascii="Georgia" w:hAnsi="Georgia"/>
      <w:b/>
      <w:bCs/>
      <w:sz w:val="22"/>
      <w:u w:val="single"/>
      <w:lang w:val="en-GB"/>
    </w:rPr>
  </w:style>
  <w:style w:type="paragraph" w:styleId="Heading2">
    <w:name w:val="heading 2"/>
    <w:basedOn w:val="Normal"/>
    <w:next w:val="Normal"/>
    <w:qFormat/>
    <w:rsid w:val="009146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57C4"/>
    <w:pPr>
      <w:keepNext/>
      <w:spacing w:before="240" w:after="60"/>
      <w:outlineLvl w:val="2"/>
    </w:pPr>
    <w:rPr>
      <w:rFonts w:ascii="Arial" w:hAnsi="Arial" w:cs="Arial"/>
      <w:b/>
      <w:bCs/>
      <w:sz w:val="26"/>
      <w:szCs w:val="26"/>
    </w:rPr>
  </w:style>
  <w:style w:type="paragraph" w:styleId="Heading4">
    <w:name w:val="heading 4"/>
    <w:basedOn w:val="Normal"/>
    <w:next w:val="Normal"/>
    <w:qFormat/>
    <w:rsid w:val="006157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76E3B"/>
    <w:pPr>
      <w:jc w:val="both"/>
    </w:pPr>
    <w:rPr>
      <w:rFonts w:ascii="Georgia" w:hAnsi="Georgia"/>
    </w:rPr>
  </w:style>
  <w:style w:type="paragraph" w:customStyle="1" w:styleId="Style3">
    <w:name w:val="Style3"/>
    <w:basedOn w:val="Normal"/>
    <w:rsid w:val="00876E3B"/>
    <w:pPr>
      <w:jc w:val="both"/>
    </w:pPr>
    <w:rPr>
      <w:rFonts w:ascii="Georgia" w:hAnsi="Georgia"/>
      <w:b/>
      <w:u w:val="single"/>
      <w:lang w:val="en-GB"/>
    </w:rPr>
  </w:style>
  <w:style w:type="paragraph" w:customStyle="1" w:styleId="Style4">
    <w:name w:val="Style4"/>
    <w:basedOn w:val="Normal"/>
    <w:autoRedefine/>
    <w:rsid w:val="00876E3B"/>
    <w:rPr>
      <w:rFonts w:ascii="Georgia" w:hAnsi="Georgia"/>
      <w:b/>
      <w:u w:val="single"/>
      <w:lang w:val="en-GB"/>
    </w:rPr>
  </w:style>
  <w:style w:type="table" w:styleId="TableGrid">
    <w:name w:val="Table Grid"/>
    <w:basedOn w:val="TableNormal"/>
    <w:rsid w:val="00EF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7E27"/>
    <w:rPr>
      <w:color w:val="0000FF"/>
      <w:u w:val="single"/>
    </w:rPr>
  </w:style>
  <w:style w:type="paragraph" w:styleId="Footer">
    <w:name w:val="footer"/>
    <w:basedOn w:val="Normal"/>
    <w:rsid w:val="00380603"/>
    <w:pPr>
      <w:tabs>
        <w:tab w:val="center" w:pos="4320"/>
        <w:tab w:val="right" w:pos="8640"/>
      </w:tabs>
    </w:pPr>
  </w:style>
  <w:style w:type="character" w:styleId="PageNumber">
    <w:name w:val="page number"/>
    <w:basedOn w:val="DefaultParagraphFont"/>
    <w:rsid w:val="00380603"/>
  </w:style>
  <w:style w:type="paragraph" w:styleId="FootnoteText">
    <w:name w:val="footnote text"/>
    <w:basedOn w:val="Normal"/>
    <w:link w:val="FootnoteTextChar"/>
    <w:uiPriority w:val="99"/>
    <w:semiHidden/>
    <w:rsid w:val="001F1EC8"/>
    <w:rPr>
      <w:sz w:val="20"/>
      <w:szCs w:val="20"/>
    </w:rPr>
  </w:style>
  <w:style w:type="character" w:styleId="FootnoteReference">
    <w:name w:val="footnote reference"/>
    <w:uiPriority w:val="99"/>
    <w:semiHidden/>
    <w:rsid w:val="001F1EC8"/>
    <w:rPr>
      <w:vertAlign w:val="superscript"/>
    </w:rPr>
  </w:style>
  <w:style w:type="paragraph" w:customStyle="1" w:styleId="H1">
    <w:name w:val="H1"/>
    <w:basedOn w:val="Normal"/>
    <w:next w:val="N1"/>
    <w:rsid w:val="006157C4"/>
    <w:pPr>
      <w:keepNext/>
      <w:spacing w:before="320" w:line="220" w:lineRule="atLeast"/>
      <w:jc w:val="both"/>
    </w:pPr>
    <w:rPr>
      <w:b/>
      <w:sz w:val="21"/>
      <w:szCs w:val="20"/>
      <w:lang w:val="en-GB"/>
    </w:rPr>
  </w:style>
  <w:style w:type="paragraph" w:customStyle="1" w:styleId="N1">
    <w:name w:val="N1"/>
    <w:basedOn w:val="Normal"/>
    <w:next w:val="N2"/>
    <w:rsid w:val="006157C4"/>
    <w:pPr>
      <w:numPr>
        <w:numId w:val="1"/>
      </w:numPr>
      <w:spacing w:before="160" w:line="220" w:lineRule="atLeast"/>
      <w:jc w:val="both"/>
    </w:pPr>
    <w:rPr>
      <w:rFonts w:ascii="Arial" w:hAnsi="Arial" w:cs="Arial"/>
      <w:sz w:val="21"/>
      <w:lang w:val="en-GB"/>
    </w:rPr>
  </w:style>
  <w:style w:type="paragraph" w:customStyle="1" w:styleId="N2">
    <w:name w:val="N2"/>
    <w:basedOn w:val="N1"/>
    <w:rsid w:val="006157C4"/>
    <w:pPr>
      <w:numPr>
        <w:ilvl w:val="1"/>
      </w:numPr>
      <w:tabs>
        <w:tab w:val="num" w:pos="360"/>
        <w:tab w:val="num" w:pos="1440"/>
      </w:tabs>
      <w:spacing w:before="80"/>
      <w:ind w:left="1440" w:hanging="360"/>
    </w:pPr>
  </w:style>
  <w:style w:type="paragraph" w:customStyle="1" w:styleId="N3">
    <w:name w:val="N3"/>
    <w:basedOn w:val="N2"/>
    <w:rsid w:val="006157C4"/>
    <w:pPr>
      <w:numPr>
        <w:ilvl w:val="2"/>
      </w:numPr>
      <w:tabs>
        <w:tab w:val="num" w:pos="360"/>
        <w:tab w:val="num" w:pos="2160"/>
      </w:tabs>
      <w:ind w:left="2160" w:hanging="180"/>
    </w:pPr>
  </w:style>
  <w:style w:type="paragraph" w:customStyle="1" w:styleId="N4">
    <w:name w:val="N4"/>
    <w:basedOn w:val="N3"/>
    <w:rsid w:val="006157C4"/>
    <w:pPr>
      <w:numPr>
        <w:ilvl w:val="3"/>
      </w:numPr>
      <w:tabs>
        <w:tab w:val="num" w:pos="360"/>
        <w:tab w:val="num" w:pos="907"/>
        <w:tab w:val="num" w:pos="2880"/>
      </w:tabs>
      <w:ind w:left="2880" w:hanging="360"/>
    </w:pPr>
  </w:style>
  <w:style w:type="paragraph" w:customStyle="1" w:styleId="N5">
    <w:name w:val="N5"/>
    <w:basedOn w:val="N4"/>
    <w:rsid w:val="006157C4"/>
    <w:pPr>
      <w:numPr>
        <w:ilvl w:val="4"/>
      </w:numPr>
      <w:tabs>
        <w:tab w:val="num" w:pos="360"/>
        <w:tab w:val="num" w:pos="907"/>
        <w:tab w:val="num" w:pos="3600"/>
      </w:tabs>
      <w:ind w:left="3600" w:hanging="360"/>
    </w:pPr>
  </w:style>
  <w:style w:type="paragraph" w:styleId="BodyText">
    <w:name w:val="Body Text"/>
    <w:basedOn w:val="Normal"/>
    <w:rsid w:val="006157C4"/>
    <w:pPr>
      <w:spacing w:line="360" w:lineRule="auto"/>
      <w:jc w:val="center"/>
    </w:pPr>
    <w:rPr>
      <w:rFonts w:ascii="Garamond" w:hAnsi="Garamond"/>
      <w:b/>
      <w:bCs/>
      <w:sz w:val="46"/>
      <w:lang w:val="en-GB"/>
    </w:rPr>
  </w:style>
  <w:style w:type="paragraph" w:styleId="BodyText2">
    <w:name w:val="Body Text 2"/>
    <w:basedOn w:val="Normal"/>
    <w:rsid w:val="006157C4"/>
    <w:pPr>
      <w:spacing w:line="360" w:lineRule="auto"/>
      <w:jc w:val="both"/>
    </w:pPr>
    <w:rPr>
      <w:rFonts w:ascii="Garamond" w:hAnsi="Garamond"/>
      <w:b/>
      <w:bCs/>
      <w:u w:val="single"/>
      <w:lang w:val="en-GB"/>
    </w:rPr>
  </w:style>
  <w:style w:type="paragraph" w:styleId="BalloonText">
    <w:name w:val="Balloon Text"/>
    <w:basedOn w:val="Normal"/>
    <w:semiHidden/>
    <w:rsid w:val="004B230F"/>
    <w:rPr>
      <w:rFonts w:ascii="Tahoma" w:hAnsi="Tahoma" w:cs="Tahoma"/>
      <w:sz w:val="16"/>
      <w:szCs w:val="16"/>
    </w:rPr>
  </w:style>
  <w:style w:type="paragraph" w:customStyle="1" w:styleId="ParaLevel1">
    <w:name w:val="ParaLevel1"/>
    <w:basedOn w:val="Normal"/>
    <w:rsid w:val="00096A33"/>
    <w:pPr>
      <w:numPr>
        <w:numId w:val="2"/>
      </w:numPr>
      <w:suppressAutoHyphens/>
      <w:spacing w:before="240" w:after="240" w:line="480" w:lineRule="auto"/>
      <w:jc w:val="both"/>
      <w:outlineLvl w:val="0"/>
    </w:pPr>
    <w:rPr>
      <w:szCs w:val="20"/>
      <w:lang w:val="en-GB"/>
    </w:rPr>
  </w:style>
  <w:style w:type="paragraph" w:customStyle="1" w:styleId="ParaLevel2">
    <w:name w:val="ParaLevel2"/>
    <w:basedOn w:val="Normal"/>
    <w:rsid w:val="00096A33"/>
    <w:pPr>
      <w:numPr>
        <w:ilvl w:val="1"/>
        <w:numId w:val="2"/>
      </w:numPr>
      <w:suppressAutoHyphens/>
      <w:spacing w:before="240" w:after="240" w:line="480" w:lineRule="auto"/>
      <w:jc w:val="both"/>
      <w:outlineLvl w:val="1"/>
    </w:pPr>
    <w:rPr>
      <w:szCs w:val="20"/>
      <w:lang w:val="en-GB"/>
    </w:rPr>
  </w:style>
  <w:style w:type="paragraph" w:customStyle="1" w:styleId="ParaLevel3">
    <w:name w:val="ParaLevel3"/>
    <w:basedOn w:val="Normal"/>
    <w:rsid w:val="00096A33"/>
    <w:pPr>
      <w:numPr>
        <w:ilvl w:val="2"/>
        <w:numId w:val="2"/>
      </w:numPr>
      <w:suppressAutoHyphens/>
      <w:spacing w:before="240" w:after="240" w:line="480" w:lineRule="auto"/>
      <w:jc w:val="both"/>
      <w:outlineLvl w:val="2"/>
    </w:pPr>
    <w:rPr>
      <w:szCs w:val="20"/>
      <w:lang w:val="en-GB"/>
    </w:rPr>
  </w:style>
  <w:style w:type="paragraph" w:customStyle="1" w:styleId="ParaLevel4">
    <w:name w:val="ParaLevel4"/>
    <w:basedOn w:val="Normal"/>
    <w:rsid w:val="00096A33"/>
    <w:pPr>
      <w:numPr>
        <w:ilvl w:val="3"/>
        <w:numId w:val="2"/>
      </w:numPr>
      <w:suppressAutoHyphens/>
      <w:spacing w:before="240" w:after="240" w:line="480" w:lineRule="auto"/>
      <w:jc w:val="both"/>
      <w:outlineLvl w:val="3"/>
    </w:pPr>
    <w:rPr>
      <w:szCs w:val="20"/>
      <w:lang w:val="en-GB"/>
    </w:rPr>
  </w:style>
  <w:style w:type="paragraph" w:customStyle="1" w:styleId="ParaLevel5">
    <w:name w:val="ParaLevel5"/>
    <w:basedOn w:val="Normal"/>
    <w:rsid w:val="00096A33"/>
    <w:pPr>
      <w:numPr>
        <w:ilvl w:val="4"/>
        <w:numId w:val="2"/>
      </w:numPr>
      <w:suppressAutoHyphens/>
      <w:spacing w:before="240" w:after="240" w:line="480" w:lineRule="auto"/>
      <w:jc w:val="both"/>
      <w:outlineLvl w:val="4"/>
    </w:pPr>
    <w:rPr>
      <w:szCs w:val="20"/>
      <w:lang w:val="en-GB"/>
    </w:rPr>
  </w:style>
  <w:style w:type="paragraph" w:customStyle="1" w:styleId="ParaLevel6">
    <w:name w:val="ParaLevel6"/>
    <w:basedOn w:val="Normal"/>
    <w:rsid w:val="00096A33"/>
    <w:pPr>
      <w:numPr>
        <w:ilvl w:val="5"/>
        <w:numId w:val="2"/>
      </w:numPr>
      <w:suppressAutoHyphens/>
      <w:spacing w:before="240" w:after="240" w:line="480" w:lineRule="auto"/>
      <w:jc w:val="both"/>
      <w:outlineLvl w:val="5"/>
    </w:pPr>
    <w:rPr>
      <w:szCs w:val="20"/>
      <w:lang w:val="en-GB"/>
    </w:rPr>
  </w:style>
  <w:style w:type="paragraph" w:customStyle="1" w:styleId="ParaLevel7">
    <w:name w:val="ParaLevel7"/>
    <w:basedOn w:val="Normal"/>
    <w:rsid w:val="00096A33"/>
    <w:pPr>
      <w:numPr>
        <w:ilvl w:val="6"/>
        <w:numId w:val="2"/>
      </w:numPr>
      <w:suppressAutoHyphens/>
      <w:spacing w:before="240" w:after="240" w:line="480" w:lineRule="auto"/>
      <w:jc w:val="both"/>
      <w:outlineLvl w:val="6"/>
    </w:pPr>
    <w:rPr>
      <w:szCs w:val="20"/>
      <w:lang w:val="en-GB"/>
    </w:rPr>
  </w:style>
  <w:style w:type="paragraph" w:customStyle="1" w:styleId="ParaLevel8">
    <w:name w:val="ParaLevel8"/>
    <w:basedOn w:val="Normal"/>
    <w:rsid w:val="00096A33"/>
    <w:pPr>
      <w:numPr>
        <w:ilvl w:val="7"/>
        <w:numId w:val="2"/>
      </w:numPr>
      <w:suppressAutoHyphens/>
      <w:spacing w:before="240" w:after="240" w:line="480" w:lineRule="auto"/>
      <w:jc w:val="both"/>
      <w:outlineLvl w:val="7"/>
    </w:pPr>
    <w:rPr>
      <w:szCs w:val="20"/>
      <w:lang w:val="en-GB"/>
    </w:rPr>
  </w:style>
  <w:style w:type="paragraph" w:customStyle="1" w:styleId="ParaLevel9">
    <w:name w:val="ParaLevel9"/>
    <w:basedOn w:val="Normal"/>
    <w:rsid w:val="00096A33"/>
    <w:pPr>
      <w:numPr>
        <w:ilvl w:val="8"/>
        <w:numId w:val="2"/>
      </w:numPr>
      <w:suppressAutoHyphens/>
      <w:spacing w:before="240" w:after="240" w:line="480" w:lineRule="auto"/>
      <w:jc w:val="both"/>
      <w:outlineLvl w:val="8"/>
    </w:pPr>
    <w:rPr>
      <w:szCs w:val="20"/>
      <w:lang w:val="en-GB"/>
    </w:rPr>
  </w:style>
  <w:style w:type="character" w:styleId="Strong">
    <w:name w:val="Strong"/>
    <w:uiPriority w:val="22"/>
    <w:qFormat/>
    <w:rsid w:val="0089798F"/>
    <w:rPr>
      <w:b/>
      <w:bCs/>
    </w:rPr>
  </w:style>
  <w:style w:type="paragraph" w:styleId="Header">
    <w:name w:val="header"/>
    <w:basedOn w:val="Normal"/>
    <w:rsid w:val="00266867"/>
    <w:pPr>
      <w:tabs>
        <w:tab w:val="center" w:pos="4320"/>
        <w:tab w:val="right" w:pos="8640"/>
      </w:tabs>
    </w:pPr>
  </w:style>
  <w:style w:type="paragraph" w:styleId="NormalWeb">
    <w:name w:val="Normal (Web)"/>
    <w:basedOn w:val="Normal"/>
    <w:uiPriority w:val="99"/>
    <w:rsid w:val="00F56791"/>
    <w:pPr>
      <w:spacing w:before="100" w:beforeAutospacing="1" w:after="100" w:afterAutospacing="1"/>
    </w:pPr>
    <w:rPr>
      <w:color w:val="000000"/>
    </w:rPr>
  </w:style>
  <w:style w:type="paragraph" w:styleId="ListParagraph">
    <w:name w:val="List Paragraph"/>
    <w:basedOn w:val="Normal"/>
    <w:uiPriority w:val="34"/>
    <w:qFormat/>
    <w:rsid w:val="00EC4615"/>
    <w:pPr>
      <w:spacing w:after="200" w:line="276" w:lineRule="auto"/>
      <w:ind w:left="720"/>
      <w:contextualSpacing/>
    </w:pPr>
    <w:rPr>
      <w:rFonts w:ascii="Calibri" w:eastAsia="Calibri" w:hAnsi="Calibri"/>
      <w:sz w:val="22"/>
      <w:szCs w:val="22"/>
      <w:lang w:val="en-GB"/>
    </w:rPr>
  </w:style>
  <w:style w:type="character" w:styleId="Emphasis">
    <w:name w:val="Emphasis"/>
    <w:uiPriority w:val="20"/>
    <w:qFormat/>
    <w:rsid w:val="002B196A"/>
    <w:rPr>
      <w:i/>
      <w:iCs/>
    </w:rPr>
  </w:style>
  <w:style w:type="paragraph" w:styleId="DocumentMap">
    <w:name w:val="Document Map"/>
    <w:basedOn w:val="Normal"/>
    <w:semiHidden/>
    <w:rsid w:val="005E094A"/>
    <w:pPr>
      <w:shd w:val="clear" w:color="auto" w:fill="000080"/>
    </w:pPr>
    <w:rPr>
      <w:rFonts w:ascii="Tahoma" w:hAnsi="Tahoma" w:cs="Tahoma"/>
      <w:sz w:val="20"/>
      <w:szCs w:val="20"/>
    </w:rPr>
  </w:style>
  <w:style w:type="paragraph" w:customStyle="1" w:styleId="Body-text">
    <w:name w:val="Body - text"/>
    <w:basedOn w:val="Normal"/>
    <w:rsid w:val="00552951"/>
    <w:pPr>
      <w:spacing w:before="120" w:after="120"/>
    </w:pPr>
    <w:rPr>
      <w:rFonts w:eastAsia="Calibri"/>
      <w:szCs w:val="20"/>
      <w:lang w:val="en-GB"/>
    </w:rPr>
  </w:style>
  <w:style w:type="character" w:styleId="FollowedHyperlink">
    <w:name w:val="FollowedHyperlink"/>
    <w:rsid w:val="00643035"/>
    <w:rPr>
      <w:color w:val="800080"/>
      <w:u w:val="single"/>
    </w:rPr>
  </w:style>
  <w:style w:type="paragraph" w:customStyle="1" w:styleId="Normalnoleftindent">
    <w:name w:val="Normal no left indent"/>
    <w:basedOn w:val="Normal"/>
    <w:rsid w:val="00E555FC"/>
    <w:pPr>
      <w:ind w:right="794"/>
      <w:jc w:val="both"/>
    </w:pPr>
    <w:rPr>
      <w:rFonts w:ascii="Times" w:hAnsi="Times"/>
      <w:spacing w:val="-3"/>
      <w:szCs w:val="20"/>
      <w:lang w:val="en-GB"/>
    </w:rPr>
  </w:style>
  <w:style w:type="character" w:customStyle="1" w:styleId="FootnoteTextChar">
    <w:name w:val="Footnote Text Char"/>
    <w:link w:val="FootnoteText"/>
    <w:uiPriority w:val="99"/>
    <w:semiHidden/>
    <w:rsid w:val="00FB5ACE"/>
    <w:rPr>
      <w:lang w:val="en-US" w:eastAsia="en-US"/>
    </w:rPr>
  </w:style>
  <w:style w:type="paragraph" w:styleId="PlainText">
    <w:name w:val="Plain Text"/>
    <w:basedOn w:val="Normal"/>
    <w:link w:val="PlainTextChar"/>
    <w:uiPriority w:val="99"/>
    <w:unhideWhenUsed/>
    <w:rsid w:val="00467B21"/>
    <w:rPr>
      <w:rFonts w:ascii="Calibri" w:hAnsi="Calibri"/>
      <w:sz w:val="22"/>
      <w:szCs w:val="21"/>
      <w:lang w:val="en-GB" w:eastAsia="en-GB"/>
    </w:rPr>
  </w:style>
  <w:style w:type="character" w:customStyle="1" w:styleId="PlainTextChar">
    <w:name w:val="Plain Text Char"/>
    <w:link w:val="PlainText"/>
    <w:uiPriority w:val="99"/>
    <w:rsid w:val="00467B21"/>
    <w:rPr>
      <w:rFonts w:ascii="Calibri" w:hAnsi="Calibri"/>
      <w:sz w:val="22"/>
      <w:szCs w:val="21"/>
    </w:rPr>
  </w:style>
  <w:style w:type="paragraph" w:customStyle="1" w:styleId="Default">
    <w:name w:val="Default"/>
    <w:rsid w:val="00B76503"/>
    <w:pPr>
      <w:autoSpaceDE w:val="0"/>
      <w:autoSpaceDN w:val="0"/>
      <w:adjustRightInd w:val="0"/>
    </w:pPr>
    <w:rPr>
      <w:color w:val="000000"/>
      <w:sz w:val="24"/>
      <w:szCs w:val="24"/>
    </w:rPr>
  </w:style>
  <w:style w:type="character" w:customStyle="1" w:styleId="notranslate">
    <w:name w:val="notranslate"/>
    <w:basedOn w:val="DefaultParagraphFont"/>
    <w:rsid w:val="005E7FC1"/>
  </w:style>
  <w:style w:type="character" w:customStyle="1" w:styleId="st1">
    <w:name w:val="st1"/>
    <w:basedOn w:val="DefaultParagraphFont"/>
    <w:rsid w:val="00B30D32"/>
  </w:style>
  <w:style w:type="paragraph" w:customStyle="1" w:styleId="indent1">
    <w:name w:val="indent1"/>
    <w:basedOn w:val="Normal"/>
    <w:rsid w:val="00020E04"/>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9146CE"/>
    <w:pPr>
      <w:keepNext/>
      <w:spacing w:line="360" w:lineRule="auto"/>
      <w:jc w:val="both"/>
      <w:outlineLvl w:val="0"/>
    </w:pPr>
    <w:rPr>
      <w:rFonts w:ascii="Georgia" w:hAnsi="Georgia"/>
      <w:b/>
      <w:bCs/>
      <w:sz w:val="22"/>
      <w:u w:val="single"/>
      <w:lang w:val="en-GB"/>
    </w:rPr>
  </w:style>
  <w:style w:type="paragraph" w:styleId="Heading2">
    <w:name w:val="heading 2"/>
    <w:basedOn w:val="Normal"/>
    <w:next w:val="Normal"/>
    <w:qFormat/>
    <w:rsid w:val="009146C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57C4"/>
    <w:pPr>
      <w:keepNext/>
      <w:spacing w:before="240" w:after="60"/>
      <w:outlineLvl w:val="2"/>
    </w:pPr>
    <w:rPr>
      <w:rFonts w:ascii="Arial" w:hAnsi="Arial" w:cs="Arial"/>
      <w:b/>
      <w:bCs/>
      <w:sz w:val="26"/>
      <w:szCs w:val="26"/>
    </w:rPr>
  </w:style>
  <w:style w:type="paragraph" w:styleId="Heading4">
    <w:name w:val="heading 4"/>
    <w:basedOn w:val="Normal"/>
    <w:next w:val="Normal"/>
    <w:qFormat/>
    <w:rsid w:val="006157C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76E3B"/>
    <w:pPr>
      <w:jc w:val="both"/>
    </w:pPr>
    <w:rPr>
      <w:rFonts w:ascii="Georgia" w:hAnsi="Georgia"/>
    </w:rPr>
  </w:style>
  <w:style w:type="paragraph" w:customStyle="1" w:styleId="Style3">
    <w:name w:val="Style3"/>
    <w:basedOn w:val="Normal"/>
    <w:rsid w:val="00876E3B"/>
    <w:pPr>
      <w:jc w:val="both"/>
    </w:pPr>
    <w:rPr>
      <w:rFonts w:ascii="Georgia" w:hAnsi="Georgia"/>
      <w:b/>
      <w:u w:val="single"/>
      <w:lang w:val="en-GB"/>
    </w:rPr>
  </w:style>
  <w:style w:type="paragraph" w:customStyle="1" w:styleId="Style4">
    <w:name w:val="Style4"/>
    <w:basedOn w:val="Normal"/>
    <w:autoRedefine/>
    <w:rsid w:val="00876E3B"/>
    <w:rPr>
      <w:rFonts w:ascii="Georgia" w:hAnsi="Georgia"/>
      <w:b/>
      <w:u w:val="single"/>
      <w:lang w:val="en-GB"/>
    </w:rPr>
  </w:style>
  <w:style w:type="table" w:styleId="TableGrid">
    <w:name w:val="Table Grid"/>
    <w:basedOn w:val="TableNormal"/>
    <w:rsid w:val="00EF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7E27"/>
    <w:rPr>
      <w:color w:val="0000FF"/>
      <w:u w:val="single"/>
    </w:rPr>
  </w:style>
  <w:style w:type="paragraph" w:styleId="Footer">
    <w:name w:val="footer"/>
    <w:basedOn w:val="Normal"/>
    <w:rsid w:val="00380603"/>
    <w:pPr>
      <w:tabs>
        <w:tab w:val="center" w:pos="4320"/>
        <w:tab w:val="right" w:pos="8640"/>
      </w:tabs>
    </w:pPr>
  </w:style>
  <w:style w:type="character" w:styleId="PageNumber">
    <w:name w:val="page number"/>
    <w:basedOn w:val="DefaultParagraphFont"/>
    <w:rsid w:val="00380603"/>
  </w:style>
  <w:style w:type="paragraph" w:styleId="FootnoteText">
    <w:name w:val="footnote text"/>
    <w:basedOn w:val="Normal"/>
    <w:link w:val="FootnoteTextChar"/>
    <w:uiPriority w:val="99"/>
    <w:semiHidden/>
    <w:rsid w:val="001F1EC8"/>
    <w:rPr>
      <w:sz w:val="20"/>
      <w:szCs w:val="20"/>
    </w:rPr>
  </w:style>
  <w:style w:type="character" w:styleId="FootnoteReference">
    <w:name w:val="footnote reference"/>
    <w:uiPriority w:val="99"/>
    <w:semiHidden/>
    <w:rsid w:val="001F1EC8"/>
    <w:rPr>
      <w:vertAlign w:val="superscript"/>
    </w:rPr>
  </w:style>
  <w:style w:type="paragraph" w:customStyle="1" w:styleId="H1">
    <w:name w:val="H1"/>
    <w:basedOn w:val="Normal"/>
    <w:next w:val="N1"/>
    <w:rsid w:val="006157C4"/>
    <w:pPr>
      <w:keepNext/>
      <w:spacing w:before="320" w:line="220" w:lineRule="atLeast"/>
      <w:jc w:val="both"/>
    </w:pPr>
    <w:rPr>
      <w:b/>
      <w:sz w:val="21"/>
      <w:szCs w:val="20"/>
      <w:lang w:val="en-GB"/>
    </w:rPr>
  </w:style>
  <w:style w:type="paragraph" w:customStyle="1" w:styleId="N1">
    <w:name w:val="N1"/>
    <w:basedOn w:val="Normal"/>
    <w:next w:val="N2"/>
    <w:rsid w:val="006157C4"/>
    <w:pPr>
      <w:numPr>
        <w:numId w:val="1"/>
      </w:numPr>
      <w:spacing w:before="160" w:line="220" w:lineRule="atLeast"/>
      <w:jc w:val="both"/>
    </w:pPr>
    <w:rPr>
      <w:rFonts w:ascii="Arial" w:hAnsi="Arial" w:cs="Arial"/>
      <w:sz w:val="21"/>
      <w:lang w:val="en-GB"/>
    </w:rPr>
  </w:style>
  <w:style w:type="paragraph" w:customStyle="1" w:styleId="N2">
    <w:name w:val="N2"/>
    <w:basedOn w:val="N1"/>
    <w:rsid w:val="006157C4"/>
    <w:pPr>
      <w:numPr>
        <w:ilvl w:val="1"/>
      </w:numPr>
      <w:tabs>
        <w:tab w:val="num" w:pos="360"/>
        <w:tab w:val="num" w:pos="1440"/>
      </w:tabs>
      <w:spacing w:before="80"/>
      <w:ind w:left="1440" w:hanging="360"/>
    </w:pPr>
  </w:style>
  <w:style w:type="paragraph" w:customStyle="1" w:styleId="N3">
    <w:name w:val="N3"/>
    <w:basedOn w:val="N2"/>
    <w:rsid w:val="006157C4"/>
    <w:pPr>
      <w:numPr>
        <w:ilvl w:val="2"/>
      </w:numPr>
      <w:tabs>
        <w:tab w:val="num" w:pos="360"/>
        <w:tab w:val="num" w:pos="2160"/>
      </w:tabs>
      <w:ind w:left="2160" w:hanging="180"/>
    </w:pPr>
  </w:style>
  <w:style w:type="paragraph" w:customStyle="1" w:styleId="N4">
    <w:name w:val="N4"/>
    <w:basedOn w:val="N3"/>
    <w:rsid w:val="006157C4"/>
    <w:pPr>
      <w:numPr>
        <w:ilvl w:val="3"/>
      </w:numPr>
      <w:tabs>
        <w:tab w:val="num" w:pos="360"/>
        <w:tab w:val="num" w:pos="907"/>
        <w:tab w:val="num" w:pos="2880"/>
      </w:tabs>
      <w:ind w:left="2880" w:hanging="360"/>
    </w:pPr>
  </w:style>
  <w:style w:type="paragraph" w:customStyle="1" w:styleId="N5">
    <w:name w:val="N5"/>
    <w:basedOn w:val="N4"/>
    <w:rsid w:val="006157C4"/>
    <w:pPr>
      <w:numPr>
        <w:ilvl w:val="4"/>
      </w:numPr>
      <w:tabs>
        <w:tab w:val="num" w:pos="360"/>
        <w:tab w:val="num" w:pos="907"/>
        <w:tab w:val="num" w:pos="3600"/>
      </w:tabs>
      <w:ind w:left="3600" w:hanging="360"/>
    </w:pPr>
  </w:style>
  <w:style w:type="paragraph" w:styleId="BodyText">
    <w:name w:val="Body Text"/>
    <w:basedOn w:val="Normal"/>
    <w:rsid w:val="006157C4"/>
    <w:pPr>
      <w:spacing w:line="360" w:lineRule="auto"/>
      <w:jc w:val="center"/>
    </w:pPr>
    <w:rPr>
      <w:rFonts w:ascii="Garamond" w:hAnsi="Garamond"/>
      <w:b/>
      <w:bCs/>
      <w:sz w:val="46"/>
      <w:lang w:val="en-GB"/>
    </w:rPr>
  </w:style>
  <w:style w:type="paragraph" w:styleId="BodyText2">
    <w:name w:val="Body Text 2"/>
    <w:basedOn w:val="Normal"/>
    <w:rsid w:val="006157C4"/>
    <w:pPr>
      <w:spacing w:line="360" w:lineRule="auto"/>
      <w:jc w:val="both"/>
    </w:pPr>
    <w:rPr>
      <w:rFonts w:ascii="Garamond" w:hAnsi="Garamond"/>
      <w:b/>
      <w:bCs/>
      <w:u w:val="single"/>
      <w:lang w:val="en-GB"/>
    </w:rPr>
  </w:style>
  <w:style w:type="paragraph" w:styleId="BalloonText">
    <w:name w:val="Balloon Text"/>
    <w:basedOn w:val="Normal"/>
    <w:semiHidden/>
    <w:rsid w:val="004B230F"/>
    <w:rPr>
      <w:rFonts w:ascii="Tahoma" w:hAnsi="Tahoma" w:cs="Tahoma"/>
      <w:sz w:val="16"/>
      <w:szCs w:val="16"/>
    </w:rPr>
  </w:style>
  <w:style w:type="paragraph" w:customStyle="1" w:styleId="ParaLevel1">
    <w:name w:val="ParaLevel1"/>
    <w:basedOn w:val="Normal"/>
    <w:rsid w:val="00096A33"/>
    <w:pPr>
      <w:numPr>
        <w:numId w:val="2"/>
      </w:numPr>
      <w:suppressAutoHyphens/>
      <w:spacing w:before="240" w:after="240" w:line="480" w:lineRule="auto"/>
      <w:jc w:val="both"/>
      <w:outlineLvl w:val="0"/>
    </w:pPr>
    <w:rPr>
      <w:szCs w:val="20"/>
      <w:lang w:val="en-GB"/>
    </w:rPr>
  </w:style>
  <w:style w:type="paragraph" w:customStyle="1" w:styleId="ParaLevel2">
    <w:name w:val="ParaLevel2"/>
    <w:basedOn w:val="Normal"/>
    <w:rsid w:val="00096A33"/>
    <w:pPr>
      <w:numPr>
        <w:ilvl w:val="1"/>
        <w:numId w:val="2"/>
      </w:numPr>
      <w:suppressAutoHyphens/>
      <w:spacing w:before="240" w:after="240" w:line="480" w:lineRule="auto"/>
      <w:jc w:val="both"/>
      <w:outlineLvl w:val="1"/>
    </w:pPr>
    <w:rPr>
      <w:szCs w:val="20"/>
      <w:lang w:val="en-GB"/>
    </w:rPr>
  </w:style>
  <w:style w:type="paragraph" w:customStyle="1" w:styleId="ParaLevel3">
    <w:name w:val="ParaLevel3"/>
    <w:basedOn w:val="Normal"/>
    <w:rsid w:val="00096A33"/>
    <w:pPr>
      <w:numPr>
        <w:ilvl w:val="2"/>
        <w:numId w:val="2"/>
      </w:numPr>
      <w:suppressAutoHyphens/>
      <w:spacing w:before="240" w:after="240" w:line="480" w:lineRule="auto"/>
      <w:jc w:val="both"/>
      <w:outlineLvl w:val="2"/>
    </w:pPr>
    <w:rPr>
      <w:szCs w:val="20"/>
      <w:lang w:val="en-GB"/>
    </w:rPr>
  </w:style>
  <w:style w:type="paragraph" w:customStyle="1" w:styleId="ParaLevel4">
    <w:name w:val="ParaLevel4"/>
    <w:basedOn w:val="Normal"/>
    <w:rsid w:val="00096A33"/>
    <w:pPr>
      <w:numPr>
        <w:ilvl w:val="3"/>
        <w:numId w:val="2"/>
      </w:numPr>
      <w:suppressAutoHyphens/>
      <w:spacing w:before="240" w:after="240" w:line="480" w:lineRule="auto"/>
      <w:jc w:val="both"/>
      <w:outlineLvl w:val="3"/>
    </w:pPr>
    <w:rPr>
      <w:szCs w:val="20"/>
      <w:lang w:val="en-GB"/>
    </w:rPr>
  </w:style>
  <w:style w:type="paragraph" w:customStyle="1" w:styleId="ParaLevel5">
    <w:name w:val="ParaLevel5"/>
    <w:basedOn w:val="Normal"/>
    <w:rsid w:val="00096A33"/>
    <w:pPr>
      <w:numPr>
        <w:ilvl w:val="4"/>
        <w:numId w:val="2"/>
      </w:numPr>
      <w:suppressAutoHyphens/>
      <w:spacing w:before="240" w:after="240" w:line="480" w:lineRule="auto"/>
      <w:jc w:val="both"/>
      <w:outlineLvl w:val="4"/>
    </w:pPr>
    <w:rPr>
      <w:szCs w:val="20"/>
      <w:lang w:val="en-GB"/>
    </w:rPr>
  </w:style>
  <w:style w:type="paragraph" w:customStyle="1" w:styleId="ParaLevel6">
    <w:name w:val="ParaLevel6"/>
    <w:basedOn w:val="Normal"/>
    <w:rsid w:val="00096A33"/>
    <w:pPr>
      <w:numPr>
        <w:ilvl w:val="5"/>
        <w:numId w:val="2"/>
      </w:numPr>
      <w:suppressAutoHyphens/>
      <w:spacing w:before="240" w:after="240" w:line="480" w:lineRule="auto"/>
      <w:jc w:val="both"/>
      <w:outlineLvl w:val="5"/>
    </w:pPr>
    <w:rPr>
      <w:szCs w:val="20"/>
      <w:lang w:val="en-GB"/>
    </w:rPr>
  </w:style>
  <w:style w:type="paragraph" w:customStyle="1" w:styleId="ParaLevel7">
    <w:name w:val="ParaLevel7"/>
    <w:basedOn w:val="Normal"/>
    <w:rsid w:val="00096A33"/>
    <w:pPr>
      <w:numPr>
        <w:ilvl w:val="6"/>
        <w:numId w:val="2"/>
      </w:numPr>
      <w:suppressAutoHyphens/>
      <w:spacing w:before="240" w:after="240" w:line="480" w:lineRule="auto"/>
      <w:jc w:val="both"/>
      <w:outlineLvl w:val="6"/>
    </w:pPr>
    <w:rPr>
      <w:szCs w:val="20"/>
      <w:lang w:val="en-GB"/>
    </w:rPr>
  </w:style>
  <w:style w:type="paragraph" w:customStyle="1" w:styleId="ParaLevel8">
    <w:name w:val="ParaLevel8"/>
    <w:basedOn w:val="Normal"/>
    <w:rsid w:val="00096A33"/>
    <w:pPr>
      <w:numPr>
        <w:ilvl w:val="7"/>
        <w:numId w:val="2"/>
      </w:numPr>
      <w:suppressAutoHyphens/>
      <w:spacing w:before="240" w:after="240" w:line="480" w:lineRule="auto"/>
      <w:jc w:val="both"/>
      <w:outlineLvl w:val="7"/>
    </w:pPr>
    <w:rPr>
      <w:szCs w:val="20"/>
      <w:lang w:val="en-GB"/>
    </w:rPr>
  </w:style>
  <w:style w:type="paragraph" w:customStyle="1" w:styleId="ParaLevel9">
    <w:name w:val="ParaLevel9"/>
    <w:basedOn w:val="Normal"/>
    <w:rsid w:val="00096A33"/>
    <w:pPr>
      <w:numPr>
        <w:ilvl w:val="8"/>
        <w:numId w:val="2"/>
      </w:numPr>
      <w:suppressAutoHyphens/>
      <w:spacing w:before="240" w:after="240" w:line="480" w:lineRule="auto"/>
      <w:jc w:val="both"/>
      <w:outlineLvl w:val="8"/>
    </w:pPr>
    <w:rPr>
      <w:szCs w:val="20"/>
      <w:lang w:val="en-GB"/>
    </w:rPr>
  </w:style>
  <w:style w:type="character" w:styleId="Strong">
    <w:name w:val="Strong"/>
    <w:uiPriority w:val="22"/>
    <w:qFormat/>
    <w:rsid w:val="0089798F"/>
    <w:rPr>
      <w:b/>
      <w:bCs/>
    </w:rPr>
  </w:style>
  <w:style w:type="paragraph" w:styleId="Header">
    <w:name w:val="header"/>
    <w:basedOn w:val="Normal"/>
    <w:rsid w:val="00266867"/>
    <w:pPr>
      <w:tabs>
        <w:tab w:val="center" w:pos="4320"/>
        <w:tab w:val="right" w:pos="8640"/>
      </w:tabs>
    </w:pPr>
  </w:style>
  <w:style w:type="paragraph" w:styleId="NormalWeb">
    <w:name w:val="Normal (Web)"/>
    <w:basedOn w:val="Normal"/>
    <w:uiPriority w:val="99"/>
    <w:rsid w:val="00F56791"/>
    <w:pPr>
      <w:spacing w:before="100" w:beforeAutospacing="1" w:after="100" w:afterAutospacing="1"/>
    </w:pPr>
    <w:rPr>
      <w:color w:val="000000"/>
    </w:rPr>
  </w:style>
  <w:style w:type="paragraph" w:styleId="ListParagraph">
    <w:name w:val="List Paragraph"/>
    <w:basedOn w:val="Normal"/>
    <w:uiPriority w:val="34"/>
    <w:qFormat/>
    <w:rsid w:val="00EC4615"/>
    <w:pPr>
      <w:spacing w:after="200" w:line="276" w:lineRule="auto"/>
      <w:ind w:left="720"/>
      <w:contextualSpacing/>
    </w:pPr>
    <w:rPr>
      <w:rFonts w:ascii="Calibri" w:eastAsia="Calibri" w:hAnsi="Calibri"/>
      <w:sz w:val="22"/>
      <w:szCs w:val="22"/>
      <w:lang w:val="en-GB"/>
    </w:rPr>
  </w:style>
  <w:style w:type="character" w:styleId="Emphasis">
    <w:name w:val="Emphasis"/>
    <w:uiPriority w:val="20"/>
    <w:qFormat/>
    <w:rsid w:val="002B196A"/>
    <w:rPr>
      <w:i/>
      <w:iCs/>
    </w:rPr>
  </w:style>
  <w:style w:type="paragraph" w:styleId="DocumentMap">
    <w:name w:val="Document Map"/>
    <w:basedOn w:val="Normal"/>
    <w:semiHidden/>
    <w:rsid w:val="005E094A"/>
    <w:pPr>
      <w:shd w:val="clear" w:color="auto" w:fill="000080"/>
    </w:pPr>
    <w:rPr>
      <w:rFonts w:ascii="Tahoma" w:hAnsi="Tahoma" w:cs="Tahoma"/>
      <w:sz w:val="20"/>
      <w:szCs w:val="20"/>
    </w:rPr>
  </w:style>
  <w:style w:type="paragraph" w:customStyle="1" w:styleId="Body-text">
    <w:name w:val="Body - text"/>
    <w:basedOn w:val="Normal"/>
    <w:rsid w:val="00552951"/>
    <w:pPr>
      <w:spacing w:before="120" w:after="120"/>
    </w:pPr>
    <w:rPr>
      <w:rFonts w:eastAsia="Calibri"/>
      <w:szCs w:val="20"/>
      <w:lang w:val="en-GB"/>
    </w:rPr>
  </w:style>
  <w:style w:type="character" w:styleId="FollowedHyperlink">
    <w:name w:val="FollowedHyperlink"/>
    <w:rsid w:val="00643035"/>
    <w:rPr>
      <w:color w:val="800080"/>
      <w:u w:val="single"/>
    </w:rPr>
  </w:style>
  <w:style w:type="paragraph" w:customStyle="1" w:styleId="Normalnoleftindent">
    <w:name w:val="Normal no left indent"/>
    <w:basedOn w:val="Normal"/>
    <w:rsid w:val="00E555FC"/>
    <w:pPr>
      <w:ind w:right="794"/>
      <w:jc w:val="both"/>
    </w:pPr>
    <w:rPr>
      <w:rFonts w:ascii="Times" w:hAnsi="Times"/>
      <w:spacing w:val="-3"/>
      <w:szCs w:val="20"/>
      <w:lang w:val="en-GB"/>
    </w:rPr>
  </w:style>
  <w:style w:type="character" w:customStyle="1" w:styleId="FootnoteTextChar">
    <w:name w:val="Footnote Text Char"/>
    <w:link w:val="FootnoteText"/>
    <w:uiPriority w:val="99"/>
    <w:semiHidden/>
    <w:rsid w:val="00FB5ACE"/>
    <w:rPr>
      <w:lang w:val="en-US" w:eastAsia="en-US"/>
    </w:rPr>
  </w:style>
  <w:style w:type="paragraph" w:styleId="PlainText">
    <w:name w:val="Plain Text"/>
    <w:basedOn w:val="Normal"/>
    <w:link w:val="PlainTextChar"/>
    <w:uiPriority w:val="99"/>
    <w:unhideWhenUsed/>
    <w:rsid w:val="00467B21"/>
    <w:rPr>
      <w:rFonts w:ascii="Calibri" w:hAnsi="Calibri"/>
      <w:sz w:val="22"/>
      <w:szCs w:val="21"/>
      <w:lang w:val="en-GB" w:eastAsia="en-GB"/>
    </w:rPr>
  </w:style>
  <w:style w:type="character" w:customStyle="1" w:styleId="PlainTextChar">
    <w:name w:val="Plain Text Char"/>
    <w:link w:val="PlainText"/>
    <w:uiPriority w:val="99"/>
    <w:rsid w:val="00467B21"/>
    <w:rPr>
      <w:rFonts w:ascii="Calibri" w:hAnsi="Calibri"/>
      <w:sz w:val="22"/>
      <w:szCs w:val="21"/>
    </w:rPr>
  </w:style>
  <w:style w:type="paragraph" w:customStyle="1" w:styleId="Default">
    <w:name w:val="Default"/>
    <w:rsid w:val="00B76503"/>
    <w:pPr>
      <w:autoSpaceDE w:val="0"/>
      <w:autoSpaceDN w:val="0"/>
      <w:adjustRightInd w:val="0"/>
    </w:pPr>
    <w:rPr>
      <w:color w:val="000000"/>
      <w:sz w:val="24"/>
      <w:szCs w:val="24"/>
    </w:rPr>
  </w:style>
  <w:style w:type="character" w:customStyle="1" w:styleId="notranslate">
    <w:name w:val="notranslate"/>
    <w:basedOn w:val="DefaultParagraphFont"/>
    <w:rsid w:val="005E7FC1"/>
  </w:style>
  <w:style w:type="character" w:customStyle="1" w:styleId="st1">
    <w:name w:val="st1"/>
    <w:basedOn w:val="DefaultParagraphFont"/>
    <w:rsid w:val="00B30D32"/>
  </w:style>
  <w:style w:type="paragraph" w:customStyle="1" w:styleId="indent1">
    <w:name w:val="indent1"/>
    <w:basedOn w:val="Normal"/>
    <w:rsid w:val="00020E0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131">
      <w:bodyDiv w:val="1"/>
      <w:marLeft w:val="0"/>
      <w:marRight w:val="0"/>
      <w:marTop w:val="0"/>
      <w:marBottom w:val="0"/>
      <w:divBdr>
        <w:top w:val="none" w:sz="0" w:space="0" w:color="auto"/>
        <w:left w:val="none" w:sz="0" w:space="0" w:color="auto"/>
        <w:bottom w:val="none" w:sz="0" w:space="0" w:color="auto"/>
        <w:right w:val="none" w:sz="0" w:space="0" w:color="auto"/>
      </w:divBdr>
    </w:div>
    <w:div w:id="120466702">
      <w:bodyDiv w:val="1"/>
      <w:marLeft w:val="0"/>
      <w:marRight w:val="0"/>
      <w:marTop w:val="0"/>
      <w:marBottom w:val="0"/>
      <w:divBdr>
        <w:top w:val="none" w:sz="0" w:space="0" w:color="auto"/>
        <w:left w:val="none" w:sz="0" w:space="0" w:color="auto"/>
        <w:bottom w:val="none" w:sz="0" w:space="0" w:color="auto"/>
        <w:right w:val="none" w:sz="0" w:space="0" w:color="auto"/>
      </w:divBdr>
    </w:div>
    <w:div w:id="414521790">
      <w:bodyDiv w:val="1"/>
      <w:marLeft w:val="0"/>
      <w:marRight w:val="0"/>
      <w:marTop w:val="0"/>
      <w:marBottom w:val="0"/>
      <w:divBdr>
        <w:top w:val="none" w:sz="0" w:space="0" w:color="auto"/>
        <w:left w:val="none" w:sz="0" w:space="0" w:color="auto"/>
        <w:bottom w:val="none" w:sz="0" w:space="0" w:color="auto"/>
        <w:right w:val="none" w:sz="0" w:space="0" w:color="auto"/>
      </w:divBdr>
    </w:div>
    <w:div w:id="509804963">
      <w:bodyDiv w:val="1"/>
      <w:marLeft w:val="0"/>
      <w:marRight w:val="0"/>
      <w:marTop w:val="0"/>
      <w:marBottom w:val="0"/>
      <w:divBdr>
        <w:top w:val="none" w:sz="0" w:space="0" w:color="auto"/>
        <w:left w:val="none" w:sz="0" w:space="0" w:color="auto"/>
        <w:bottom w:val="none" w:sz="0" w:space="0" w:color="auto"/>
        <w:right w:val="none" w:sz="0" w:space="0" w:color="auto"/>
      </w:divBdr>
      <w:divsChild>
        <w:div w:id="1140269569">
          <w:marLeft w:val="0"/>
          <w:marRight w:val="0"/>
          <w:marTop w:val="0"/>
          <w:marBottom w:val="0"/>
          <w:divBdr>
            <w:top w:val="none" w:sz="0" w:space="0" w:color="auto"/>
            <w:left w:val="none" w:sz="0" w:space="0" w:color="auto"/>
            <w:bottom w:val="none" w:sz="0" w:space="0" w:color="auto"/>
            <w:right w:val="none" w:sz="0" w:space="0" w:color="auto"/>
          </w:divBdr>
          <w:divsChild>
            <w:div w:id="2125078672">
              <w:marLeft w:val="0"/>
              <w:marRight w:val="0"/>
              <w:marTop w:val="0"/>
              <w:marBottom w:val="0"/>
              <w:divBdr>
                <w:top w:val="none" w:sz="0" w:space="0" w:color="auto"/>
                <w:left w:val="none" w:sz="0" w:space="0" w:color="auto"/>
                <w:bottom w:val="none" w:sz="0" w:space="0" w:color="auto"/>
                <w:right w:val="none" w:sz="0" w:space="0" w:color="auto"/>
              </w:divBdr>
              <w:divsChild>
                <w:div w:id="37827931">
                  <w:marLeft w:val="0"/>
                  <w:marRight w:val="0"/>
                  <w:marTop w:val="0"/>
                  <w:marBottom w:val="0"/>
                  <w:divBdr>
                    <w:top w:val="none" w:sz="0" w:space="0" w:color="auto"/>
                    <w:left w:val="none" w:sz="0" w:space="0" w:color="auto"/>
                    <w:bottom w:val="none" w:sz="0" w:space="0" w:color="auto"/>
                    <w:right w:val="none" w:sz="0" w:space="0" w:color="auto"/>
                  </w:divBdr>
                  <w:divsChild>
                    <w:div w:id="1729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8067">
      <w:bodyDiv w:val="1"/>
      <w:marLeft w:val="0"/>
      <w:marRight w:val="0"/>
      <w:marTop w:val="0"/>
      <w:marBottom w:val="0"/>
      <w:divBdr>
        <w:top w:val="none" w:sz="0" w:space="0" w:color="auto"/>
        <w:left w:val="none" w:sz="0" w:space="0" w:color="auto"/>
        <w:bottom w:val="none" w:sz="0" w:space="0" w:color="auto"/>
        <w:right w:val="none" w:sz="0" w:space="0" w:color="auto"/>
      </w:divBdr>
    </w:div>
    <w:div w:id="572156549">
      <w:bodyDiv w:val="1"/>
      <w:marLeft w:val="0"/>
      <w:marRight w:val="0"/>
      <w:marTop w:val="0"/>
      <w:marBottom w:val="0"/>
      <w:divBdr>
        <w:top w:val="none" w:sz="0" w:space="0" w:color="auto"/>
        <w:left w:val="none" w:sz="0" w:space="0" w:color="auto"/>
        <w:bottom w:val="none" w:sz="0" w:space="0" w:color="auto"/>
        <w:right w:val="none" w:sz="0" w:space="0" w:color="auto"/>
      </w:divBdr>
    </w:div>
    <w:div w:id="665328157">
      <w:bodyDiv w:val="1"/>
      <w:marLeft w:val="0"/>
      <w:marRight w:val="0"/>
      <w:marTop w:val="0"/>
      <w:marBottom w:val="0"/>
      <w:divBdr>
        <w:top w:val="none" w:sz="0" w:space="0" w:color="auto"/>
        <w:left w:val="none" w:sz="0" w:space="0" w:color="auto"/>
        <w:bottom w:val="none" w:sz="0" w:space="0" w:color="auto"/>
        <w:right w:val="none" w:sz="0" w:space="0" w:color="auto"/>
      </w:divBdr>
    </w:div>
    <w:div w:id="699091481">
      <w:bodyDiv w:val="1"/>
      <w:marLeft w:val="0"/>
      <w:marRight w:val="0"/>
      <w:marTop w:val="0"/>
      <w:marBottom w:val="0"/>
      <w:divBdr>
        <w:top w:val="none" w:sz="0" w:space="0" w:color="auto"/>
        <w:left w:val="none" w:sz="0" w:space="0" w:color="auto"/>
        <w:bottom w:val="none" w:sz="0" w:space="0" w:color="auto"/>
        <w:right w:val="none" w:sz="0" w:space="0" w:color="auto"/>
      </w:divBdr>
    </w:div>
    <w:div w:id="1041200071">
      <w:bodyDiv w:val="1"/>
      <w:marLeft w:val="0"/>
      <w:marRight w:val="0"/>
      <w:marTop w:val="150"/>
      <w:marBottom w:val="150"/>
      <w:divBdr>
        <w:top w:val="none" w:sz="0" w:space="0" w:color="auto"/>
        <w:left w:val="none" w:sz="0" w:space="0" w:color="auto"/>
        <w:bottom w:val="none" w:sz="0" w:space="0" w:color="auto"/>
        <w:right w:val="none" w:sz="0" w:space="0" w:color="auto"/>
      </w:divBdr>
      <w:divsChild>
        <w:div w:id="1630361090">
          <w:marLeft w:val="0"/>
          <w:marRight w:val="0"/>
          <w:marTop w:val="0"/>
          <w:marBottom w:val="0"/>
          <w:divBdr>
            <w:top w:val="single" w:sz="6" w:space="0" w:color="B0953A"/>
            <w:left w:val="single" w:sz="6" w:space="8" w:color="B0953A"/>
            <w:bottom w:val="single" w:sz="6" w:space="0" w:color="B0953A"/>
            <w:right w:val="single" w:sz="6" w:space="8" w:color="B0953A"/>
          </w:divBdr>
          <w:divsChild>
            <w:div w:id="623313662">
              <w:marLeft w:val="0"/>
              <w:marRight w:val="0"/>
              <w:marTop w:val="0"/>
              <w:marBottom w:val="0"/>
              <w:divBdr>
                <w:top w:val="none" w:sz="0" w:space="0" w:color="auto"/>
                <w:left w:val="none" w:sz="0" w:space="0" w:color="auto"/>
                <w:bottom w:val="none" w:sz="0" w:space="0" w:color="auto"/>
                <w:right w:val="none" w:sz="0" w:space="0" w:color="auto"/>
              </w:divBdr>
              <w:divsChild>
                <w:div w:id="1619990414">
                  <w:marLeft w:val="0"/>
                  <w:marRight w:val="0"/>
                  <w:marTop w:val="0"/>
                  <w:marBottom w:val="225"/>
                  <w:divBdr>
                    <w:top w:val="none" w:sz="0" w:space="0" w:color="auto"/>
                    <w:left w:val="none" w:sz="0" w:space="0" w:color="auto"/>
                    <w:bottom w:val="none" w:sz="0" w:space="0" w:color="auto"/>
                    <w:right w:val="none" w:sz="0" w:space="0" w:color="auto"/>
                  </w:divBdr>
                  <w:divsChild>
                    <w:div w:id="921523061">
                      <w:marLeft w:val="0"/>
                      <w:marRight w:val="0"/>
                      <w:marTop w:val="0"/>
                      <w:marBottom w:val="0"/>
                      <w:divBdr>
                        <w:top w:val="none" w:sz="0" w:space="0" w:color="auto"/>
                        <w:left w:val="none" w:sz="0" w:space="0" w:color="auto"/>
                        <w:bottom w:val="none" w:sz="0" w:space="0" w:color="auto"/>
                        <w:right w:val="none" w:sz="0" w:space="0" w:color="auto"/>
                      </w:divBdr>
                      <w:divsChild>
                        <w:div w:id="38632168">
                          <w:marLeft w:val="0"/>
                          <w:marRight w:val="0"/>
                          <w:marTop w:val="0"/>
                          <w:marBottom w:val="0"/>
                          <w:divBdr>
                            <w:top w:val="none" w:sz="0" w:space="0" w:color="auto"/>
                            <w:left w:val="none" w:sz="0" w:space="0" w:color="auto"/>
                            <w:bottom w:val="none" w:sz="0" w:space="0" w:color="auto"/>
                            <w:right w:val="none" w:sz="0" w:space="0" w:color="auto"/>
                          </w:divBdr>
                        </w:div>
                        <w:div w:id="13497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42353">
      <w:bodyDiv w:val="1"/>
      <w:marLeft w:val="0"/>
      <w:marRight w:val="0"/>
      <w:marTop w:val="0"/>
      <w:marBottom w:val="0"/>
      <w:divBdr>
        <w:top w:val="none" w:sz="0" w:space="0" w:color="auto"/>
        <w:left w:val="none" w:sz="0" w:space="0" w:color="auto"/>
        <w:bottom w:val="none" w:sz="0" w:space="0" w:color="auto"/>
        <w:right w:val="none" w:sz="0" w:space="0" w:color="auto"/>
      </w:divBdr>
    </w:div>
    <w:div w:id="1653171713">
      <w:bodyDiv w:val="1"/>
      <w:marLeft w:val="0"/>
      <w:marRight w:val="0"/>
      <w:marTop w:val="0"/>
      <w:marBottom w:val="0"/>
      <w:divBdr>
        <w:top w:val="none" w:sz="0" w:space="0" w:color="auto"/>
        <w:left w:val="none" w:sz="0" w:space="0" w:color="auto"/>
        <w:bottom w:val="none" w:sz="0" w:space="0" w:color="auto"/>
        <w:right w:val="none" w:sz="0" w:space="0" w:color="auto"/>
      </w:divBdr>
    </w:div>
    <w:div w:id="1745224287">
      <w:bodyDiv w:val="1"/>
      <w:marLeft w:val="0"/>
      <w:marRight w:val="0"/>
      <w:marTop w:val="0"/>
      <w:marBottom w:val="0"/>
      <w:divBdr>
        <w:top w:val="none" w:sz="0" w:space="0" w:color="auto"/>
        <w:left w:val="none" w:sz="0" w:space="0" w:color="auto"/>
        <w:bottom w:val="none" w:sz="0" w:space="0" w:color="auto"/>
        <w:right w:val="none" w:sz="0" w:space="0" w:color="auto"/>
      </w:divBdr>
    </w:div>
    <w:div w:id="1907884535">
      <w:bodyDiv w:val="1"/>
      <w:marLeft w:val="0"/>
      <w:marRight w:val="0"/>
      <w:marTop w:val="0"/>
      <w:marBottom w:val="0"/>
      <w:divBdr>
        <w:top w:val="none" w:sz="0" w:space="0" w:color="auto"/>
        <w:left w:val="none" w:sz="0" w:space="0" w:color="auto"/>
        <w:bottom w:val="none" w:sz="0" w:space="0" w:color="auto"/>
        <w:right w:val="none" w:sz="0" w:space="0" w:color="auto"/>
      </w:divBdr>
    </w:div>
    <w:div w:id="2105375270">
      <w:bodyDiv w:val="1"/>
      <w:marLeft w:val="0"/>
      <w:marRight w:val="0"/>
      <w:marTop w:val="150"/>
      <w:marBottom w:val="150"/>
      <w:divBdr>
        <w:top w:val="none" w:sz="0" w:space="0" w:color="auto"/>
        <w:left w:val="none" w:sz="0" w:space="0" w:color="auto"/>
        <w:bottom w:val="none" w:sz="0" w:space="0" w:color="auto"/>
        <w:right w:val="none" w:sz="0" w:space="0" w:color="auto"/>
      </w:divBdr>
      <w:divsChild>
        <w:div w:id="203491458">
          <w:marLeft w:val="0"/>
          <w:marRight w:val="0"/>
          <w:marTop w:val="0"/>
          <w:marBottom w:val="0"/>
          <w:divBdr>
            <w:top w:val="single" w:sz="6" w:space="0" w:color="B0953A"/>
            <w:left w:val="single" w:sz="6" w:space="8" w:color="B0953A"/>
            <w:bottom w:val="single" w:sz="6" w:space="0" w:color="B0953A"/>
            <w:right w:val="single" w:sz="6" w:space="8" w:color="B0953A"/>
          </w:divBdr>
          <w:divsChild>
            <w:div w:id="1521118569">
              <w:marLeft w:val="0"/>
              <w:marRight w:val="0"/>
              <w:marTop w:val="0"/>
              <w:marBottom w:val="0"/>
              <w:divBdr>
                <w:top w:val="none" w:sz="0" w:space="0" w:color="auto"/>
                <w:left w:val="none" w:sz="0" w:space="0" w:color="auto"/>
                <w:bottom w:val="none" w:sz="0" w:space="0" w:color="auto"/>
                <w:right w:val="none" w:sz="0" w:space="0" w:color="auto"/>
              </w:divBdr>
              <w:divsChild>
                <w:div w:id="630208778">
                  <w:marLeft w:val="0"/>
                  <w:marRight w:val="0"/>
                  <w:marTop w:val="0"/>
                  <w:marBottom w:val="225"/>
                  <w:divBdr>
                    <w:top w:val="none" w:sz="0" w:space="0" w:color="auto"/>
                    <w:left w:val="none" w:sz="0" w:space="0" w:color="auto"/>
                    <w:bottom w:val="none" w:sz="0" w:space="0" w:color="auto"/>
                    <w:right w:val="none" w:sz="0" w:space="0" w:color="auto"/>
                  </w:divBdr>
                  <w:divsChild>
                    <w:div w:id="95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404-DE89-4FE3-ACE5-8B235B17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2527</Words>
  <Characters>12738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No.1 Serjeants Inn</Company>
  <LinksUpToDate>false</LinksUpToDate>
  <CharactersWithSpaces>15235</CharactersWithSpaces>
  <SharedDoc>false</SharedDoc>
  <HLinks>
    <vt:vector size="24" baseType="variant">
      <vt:variant>
        <vt:i4>5570576</vt:i4>
      </vt:variant>
      <vt:variant>
        <vt:i4>6</vt:i4>
      </vt:variant>
      <vt:variant>
        <vt:i4>0</vt:i4>
      </vt:variant>
      <vt:variant>
        <vt:i4>5</vt:i4>
      </vt:variant>
      <vt:variant>
        <vt:lpwstr>http://www.travellawquarterly.co.uk/</vt:lpwstr>
      </vt:variant>
      <vt:variant>
        <vt:lpwstr/>
      </vt:variant>
      <vt:variant>
        <vt:i4>655360</vt:i4>
      </vt:variant>
      <vt:variant>
        <vt:i4>3</vt:i4>
      </vt:variant>
      <vt:variant>
        <vt:i4>0</vt:i4>
      </vt:variant>
      <vt:variant>
        <vt:i4>5</vt:i4>
      </vt:variant>
      <vt:variant>
        <vt:lpwstr>http://www.1chancerylane.com/</vt:lpwstr>
      </vt:variant>
      <vt:variant>
        <vt:lpwstr/>
      </vt:variant>
      <vt:variant>
        <vt:i4>2162776</vt:i4>
      </vt:variant>
      <vt:variant>
        <vt:i4>3</vt:i4>
      </vt:variant>
      <vt:variant>
        <vt:i4>0</vt:i4>
      </vt:variant>
      <vt:variant>
        <vt:i4>5</vt:i4>
      </vt:variant>
      <vt:variant>
        <vt:lpwstr>mailto:CCampbell@leighday.co.uk</vt:lpwstr>
      </vt:variant>
      <vt:variant>
        <vt:lpwstr/>
      </vt:variant>
      <vt:variant>
        <vt:i4>7536650</vt:i4>
      </vt:variant>
      <vt:variant>
        <vt:i4>0</vt:i4>
      </vt:variant>
      <vt:variant>
        <vt:i4>0</vt:i4>
      </vt:variant>
      <vt:variant>
        <vt:i4>5</vt:i4>
      </vt:variant>
      <vt:variant>
        <vt:lpwstr>mailto:fmcclenaghan@1chancerylane.com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dc:creator>
  <cp:lastModifiedBy>Matthew Chapman QC</cp:lastModifiedBy>
  <cp:revision>6</cp:revision>
  <cp:lastPrinted>2013-12-02T08:23:00Z</cp:lastPrinted>
  <dcterms:created xsi:type="dcterms:W3CDTF">2019-04-15T11:13:00Z</dcterms:created>
  <dcterms:modified xsi:type="dcterms:W3CDTF">2019-04-15T14:00:00Z</dcterms:modified>
</cp:coreProperties>
</file>